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E3753" w14:textId="77777777" w:rsidR="00E07753" w:rsidRPr="00DC0666" w:rsidRDefault="00E07753" w:rsidP="00E07753">
      <w:pPr>
        <w:spacing w:after="120"/>
        <w:jc w:val="center"/>
        <w:rPr>
          <w:rFonts w:ascii="Times New Roman" w:hAnsi="Times New Roman" w:cs="Times New Roman"/>
          <w:sz w:val="24"/>
          <w:szCs w:val="24"/>
          <w:lang w:val="es-419"/>
        </w:rPr>
      </w:pPr>
      <w:r>
        <w:rPr>
          <w:rFonts w:ascii="Times New Roman" w:hAnsi="Times New Roman" w:cs="Times New Roman"/>
          <w:b/>
          <w:bCs/>
          <w:sz w:val="24"/>
          <w:szCs w:val="24"/>
          <w:lang w:val="es-419"/>
        </w:rPr>
        <w:t>Oportunidades de Optimización por Proceso SCFSQE</w:t>
      </w:r>
    </w:p>
    <w:p w14:paraId="662D3D32" w14:textId="77777777" w:rsidR="00E07753" w:rsidRPr="00DC0666" w:rsidRDefault="00E07753" w:rsidP="00E07753">
      <w:pPr>
        <w:spacing w:after="160"/>
        <w:rPr>
          <w:rFonts w:ascii="Times New Roman" w:hAnsi="Times New Roman" w:cs="Times New Roman"/>
          <w:b/>
          <w:bCs/>
          <w:sz w:val="24"/>
          <w:szCs w:val="24"/>
          <w:lang w:val="es-419"/>
        </w:rPr>
      </w:pPr>
      <w:r>
        <w:rPr>
          <w:rFonts w:ascii="Times New Roman" w:hAnsi="Times New Roman" w:cs="Times New Roman"/>
          <w:sz w:val="24"/>
          <w:szCs w:val="24"/>
          <w:lang w:val="es-419"/>
        </w:rPr>
        <w:t>Mapeo de hallazgos de la Encuesta de Oportunidades de Optimización sobre los pasos específicos de cada flujograma susceptibles de modificaciones</w:t>
      </w:r>
      <w:r>
        <w:rPr>
          <w:rFonts w:ascii="Times New Roman" w:hAnsi="Times New Roman" w:cs="Times New Roman"/>
          <w:b/>
          <w:bCs/>
          <w:sz w:val="24"/>
          <w:szCs w:val="24"/>
          <w:lang w:val="es-419"/>
        </w:rPr>
        <w:t>.</w:t>
      </w:r>
    </w:p>
    <w:p w14:paraId="7091A364" w14:textId="77777777" w:rsidR="00E07753" w:rsidRPr="00DC0666" w:rsidRDefault="00E07753" w:rsidP="00E07753">
      <w:pPr>
        <w:spacing w:after="160"/>
        <w:rPr>
          <w:rFonts w:ascii="Times New Roman" w:hAnsi="Times New Roman" w:cs="Times New Roman"/>
          <w:sz w:val="24"/>
          <w:szCs w:val="24"/>
          <w:lang w:val="es-419"/>
        </w:rPr>
      </w:pPr>
    </w:p>
    <w:p w14:paraId="1E3639AD" w14:textId="77777777" w:rsidR="00E07753" w:rsidRPr="00DC0666" w:rsidRDefault="00E07753" w:rsidP="00E07753">
      <w:pPr>
        <w:pStyle w:val="ListParagraph"/>
        <w:numPr>
          <w:ilvl w:val="0"/>
          <w:numId w:val="3"/>
        </w:numPr>
        <w:ind w:left="284"/>
        <w:contextualSpacing w:val="0"/>
        <w:rPr>
          <w:rFonts w:ascii="Times New Roman" w:hAnsi="Times New Roman" w:cs="Times New Roman"/>
          <w:b/>
          <w:bCs/>
          <w:sz w:val="24"/>
          <w:szCs w:val="24"/>
          <w:lang w:val="es-419"/>
        </w:rPr>
      </w:pPr>
      <w:r>
        <w:rPr>
          <w:rFonts w:ascii="Times New Roman" w:hAnsi="Times New Roman" w:cs="Times New Roman"/>
          <w:b/>
          <w:bCs/>
          <w:sz w:val="24"/>
          <w:szCs w:val="24"/>
          <w:lang w:val="es-419"/>
        </w:rPr>
        <w:t>Oportunidades Transversales</w:t>
      </w:r>
    </w:p>
    <w:p w14:paraId="214F6F8D" w14:textId="77777777" w:rsidR="00E07753" w:rsidRPr="00DC0666" w:rsidRDefault="00E07753" w:rsidP="00E07753">
      <w:pPr>
        <w:rPr>
          <w:rFonts w:ascii="Times New Roman" w:hAnsi="Times New Roman" w:cs="Times New Roman"/>
          <w:b/>
          <w:bCs/>
          <w:sz w:val="24"/>
          <w:szCs w:val="24"/>
          <w:lang w:val="es-419"/>
        </w:rPr>
      </w:pPr>
    </w:p>
    <w:p w14:paraId="7F77358E" w14:textId="77777777" w:rsidR="00E07753" w:rsidRPr="00DC0666" w:rsidRDefault="00E07753" w:rsidP="00E07753">
      <w:pPr>
        <w:spacing w:after="160"/>
        <w:rPr>
          <w:rFonts w:ascii="Times New Roman" w:hAnsi="Times New Roman" w:cs="Times New Roman"/>
          <w:sz w:val="24"/>
          <w:szCs w:val="24"/>
          <w:lang w:val="es-419"/>
        </w:rPr>
      </w:pPr>
      <w:r>
        <w:rPr>
          <w:rFonts w:ascii="Times New Roman" w:hAnsi="Times New Roman" w:cs="Times New Roman"/>
          <w:i/>
          <w:iCs/>
          <w:sz w:val="24"/>
          <w:szCs w:val="24"/>
          <w:lang w:val="es-419"/>
        </w:rPr>
        <w:t>Aplican a todos los procesos de Cannabis y SQ.</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6936AF7A" w14:textId="77777777" w:rsidTr="00E07753">
        <w:tc>
          <w:tcPr>
            <w:tcW w:w="10080" w:type="dxa"/>
            <w:gridSpan w:val="2"/>
            <w:tcMar>
              <w:top w:w="80" w:type="dxa"/>
              <w:left w:w="120" w:type="dxa"/>
              <w:bottom w:w="80" w:type="dxa"/>
              <w:right w:w="120" w:type="dxa"/>
            </w:tcMar>
          </w:tcPr>
          <w:p w14:paraId="31216544" w14:textId="0DE7F0C6" w:rsidR="00E07753" w:rsidRPr="00945C2E" w:rsidRDefault="00E07753" w:rsidP="008714BF">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 xml:space="preserve">T-1  </w:t>
            </w:r>
            <w:r w:rsidRPr="008714BF">
              <w:rPr>
                <w:rFonts w:ascii="Times New Roman" w:hAnsi="Times New Roman" w:cs="Times New Roman"/>
                <w:b/>
                <w:bCs/>
                <w:sz w:val="24"/>
                <w:szCs w:val="24"/>
                <w:lang w:val="es-419"/>
              </w:rPr>
              <w:t>Paralelizar la revisión técnica y jurídica en lugar de hacerla secuencial</w:t>
            </w:r>
            <w:r w:rsidR="00FE3650" w:rsidRPr="008714BF">
              <w:rPr>
                <w:rFonts w:ascii="Times New Roman" w:hAnsi="Times New Roman" w:cs="Times New Roman"/>
                <w:b/>
                <w:bCs/>
                <w:sz w:val="24"/>
                <w:szCs w:val="24"/>
                <w:lang w:val="es-419"/>
              </w:rPr>
              <w:t xml:space="preserve"> –</w:t>
            </w:r>
            <w:r w:rsidRPr="008714BF">
              <w:rPr>
                <w:rFonts w:ascii="Times New Roman" w:hAnsi="Times New Roman" w:cs="Times New Roman"/>
                <w:b/>
                <w:bCs/>
                <w:sz w:val="24"/>
                <w:szCs w:val="24"/>
                <w:lang w:val="es-419"/>
              </w:rPr>
              <w:t>TRANSVERSAL  ·  PCR-09</w:t>
            </w:r>
            <w:r w:rsidR="00945C2E" w:rsidRPr="008714BF">
              <w:rPr>
                <w:rFonts w:ascii="Times New Roman" w:hAnsi="Times New Roman" w:cs="Times New Roman"/>
                <w:b/>
                <w:bCs/>
                <w:sz w:val="24"/>
                <w:szCs w:val="24"/>
                <w:lang w:val="es-419"/>
              </w:rPr>
              <w:t xml:space="preserve"> (Control Administrativo de Sustancias Químicas - Expedición del CCITE)</w:t>
            </w:r>
            <w:r w:rsidRPr="008714BF">
              <w:rPr>
                <w:rFonts w:ascii="Times New Roman" w:hAnsi="Times New Roman" w:cs="Times New Roman"/>
                <w:b/>
                <w:bCs/>
                <w:sz w:val="24"/>
                <w:szCs w:val="24"/>
                <w:lang w:val="es-419"/>
              </w:rPr>
              <w:t>, PCR-10</w:t>
            </w:r>
            <w:r w:rsidR="00945C2E" w:rsidRPr="008714BF">
              <w:rPr>
                <w:rFonts w:ascii="Times New Roman" w:hAnsi="Times New Roman" w:cs="Times New Roman"/>
                <w:b/>
                <w:bCs/>
                <w:sz w:val="24"/>
                <w:szCs w:val="24"/>
                <w:lang w:val="es-419"/>
              </w:rPr>
              <w:t xml:space="preserve"> (Expedición de Autorizaciones Extraordinarias por insuficiencia de cupos ordinarios del CCITE)</w:t>
            </w:r>
            <w:r w:rsidRPr="008714BF">
              <w:rPr>
                <w:rFonts w:ascii="Times New Roman" w:hAnsi="Times New Roman" w:cs="Times New Roman"/>
                <w:b/>
                <w:bCs/>
                <w:sz w:val="24"/>
                <w:szCs w:val="24"/>
                <w:lang w:val="es-419"/>
              </w:rPr>
              <w:t>, PCR-11</w:t>
            </w:r>
            <w:r w:rsidR="00945C2E" w:rsidRPr="008714BF">
              <w:rPr>
                <w:rFonts w:ascii="Times New Roman" w:hAnsi="Times New Roman" w:cs="Times New Roman"/>
                <w:b/>
                <w:bCs/>
                <w:sz w:val="24"/>
                <w:szCs w:val="24"/>
                <w:lang w:val="es-419"/>
              </w:rPr>
              <w:t xml:space="preserve"> (Análisis y Estudio para Trámite de Licencias de Cannabis)</w:t>
            </w:r>
            <w:r w:rsidRPr="008714BF">
              <w:rPr>
                <w:rFonts w:ascii="Times New Roman" w:hAnsi="Times New Roman" w:cs="Times New Roman"/>
                <w:b/>
                <w:bCs/>
                <w:sz w:val="24"/>
                <w:szCs w:val="24"/>
                <w:lang w:val="es-419"/>
              </w:rPr>
              <w:t>, PCR-12</w:t>
            </w:r>
            <w:r w:rsidR="00945C2E" w:rsidRPr="008714BF">
              <w:rPr>
                <w:rFonts w:ascii="Times New Roman" w:hAnsi="Times New Roman" w:cs="Times New Roman"/>
                <w:b/>
                <w:bCs/>
                <w:sz w:val="24"/>
                <w:szCs w:val="24"/>
                <w:lang w:val="es-419"/>
              </w:rPr>
              <w:t xml:space="preserve"> (Trámite de Cupos de Cultivo Cannabis Psicoactivo)</w:t>
            </w:r>
            <w:r w:rsidRPr="008714BF">
              <w:rPr>
                <w:rFonts w:ascii="Times New Roman" w:hAnsi="Times New Roman" w:cs="Times New Roman"/>
                <w:b/>
                <w:bCs/>
                <w:sz w:val="24"/>
                <w:szCs w:val="24"/>
                <w:lang w:val="es-419"/>
              </w:rPr>
              <w:t>, PCR-24</w:t>
            </w:r>
            <w:r w:rsidR="00945C2E" w:rsidRPr="008714BF">
              <w:rPr>
                <w:rFonts w:ascii="Times New Roman" w:hAnsi="Times New Roman" w:cs="Times New Roman"/>
                <w:b/>
                <w:bCs/>
                <w:sz w:val="24"/>
                <w:szCs w:val="24"/>
                <w:lang w:val="es-419"/>
              </w:rPr>
              <w:t xml:space="preserve"> (Procedimiento Administrativo Sancionatorio Cannabis)</w:t>
            </w:r>
            <w:r w:rsidRPr="008714BF">
              <w:rPr>
                <w:rFonts w:ascii="Times New Roman" w:hAnsi="Times New Roman" w:cs="Times New Roman"/>
                <w:b/>
                <w:bCs/>
                <w:sz w:val="24"/>
                <w:szCs w:val="24"/>
                <w:lang w:val="es-419"/>
              </w:rPr>
              <w:t>, PCR-25</w:t>
            </w:r>
            <w:r w:rsidR="00945C2E" w:rsidRPr="008714BF">
              <w:rPr>
                <w:rFonts w:ascii="Times New Roman" w:hAnsi="Times New Roman" w:cs="Times New Roman"/>
                <w:b/>
                <w:bCs/>
                <w:sz w:val="24"/>
                <w:szCs w:val="24"/>
                <w:lang w:val="es-419"/>
              </w:rPr>
              <w:t xml:space="preserve"> (Conceptos Técnicos sobre Mezclas y Productos Químicos)</w:t>
            </w:r>
            <w:r w:rsidRPr="008714BF">
              <w:rPr>
                <w:rFonts w:ascii="Times New Roman" w:hAnsi="Times New Roman" w:cs="Times New Roman"/>
                <w:b/>
                <w:bCs/>
                <w:sz w:val="24"/>
                <w:szCs w:val="24"/>
                <w:lang w:val="es-419"/>
              </w:rPr>
              <w:t xml:space="preserve">, PCR-26 </w:t>
            </w:r>
            <w:r w:rsidR="00945C2E" w:rsidRPr="008714BF">
              <w:rPr>
                <w:rFonts w:ascii="Times New Roman" w:hAnsi="Times New Roman" w:cs="Times New Roman"/>
                <w:b/>
                <w:bCs/>
                <w:sz w:val="24"/>
                <w:szCs w:val="24"/>
                <w:lang w:val="es-419"/>
              </w:rPr>
              <w:t>(</w:t>
            </w:r>
            <w:r w:rsidR="006D25D6" w:rsidRPr="008714BF">
              <w:rPr>
                <w:rFonts w:ascii="Times New Roman" w:hAnsi="Times New Roman" w:cs="Times New Roman"/>
                <w:b/>
                <w:bCs/>
                <w:sz w:val="24"/>
                <w:szCs w:val="24"/>
                <w:lang w:val="es-419"/>
              </w:rPr>
              <w:t>Medidas Administrativas</w:t>
            </w:r>
            <w:r w:rsidR="006D25D6" w:rsidRPr="006D25D6">
              <w:rPr>
                <w:rFonts w:ascii="Times New Roman" w:hAnsi="Times New Roman" w:cs="Times New Roman"/>
                <w:b/>
                <w:bCs/>
                <w:sz w:val="24"/>
                <w:szCs w:val="24"/>
                <w:lang w:val="es-419"/>
              </w:rPr>
              <w:t xml:space="preserve"> Preventivas</w:t>
            </w:r>
            <w:r w:rsidR="006D25D6">
              <w:rPr>
                <w:rFonts w:ascii="Times New Roman" w:hAnsi="Times New Roman" w:cs="Times New Roman"/>
                <w:b/>
                <w:bCs/>
                <w:sz w:val="24"/>
                <w:szCs w:val="24"/>
                <w:lang w:val="es-419"/>
              </w:rPr>
              <w:t xml:space="preserve"> SQ)</w:t>
            </w:r>
          </w:p>
        </w:tc>
      </w:tr>
      <w:tr w:rsidR="00E07753" w:rsidRPr="00B722F7" w14:paraId="35B66FF4" w14:textId="77777777" w:rsidTr="00E07753">
        <w:tc>
          <w:tcPr>
            <w:tcW w:w="3118" w:type="dxa"/>
            <w:tcMar>
              <w:top w:w="80" w:type="dxa"/>
              <w:left w:w="120" w:type="dxa"/>
              <w:bottom w:w="80" w:type="dxa"/>
              <w:right w:w="120" w:type="dxa"/>
            </w:tcMar>
          </w:tcPr>
          <w:p w14:paraId="71F6C9FD"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23AFD39E" w14:textId="0B9B5A44" w:rsidR="00E07753" w:rsidRPr="00631CC7" w:rsidRDefault="00E07753" w:rsidP="00FD3896">
            <w:pPr>
              <w:spacing w:after="60"/>
              <w:rPr>
                <w:rFonts w:ascii="Times New Roman" w:hAnsi="Times New Roman" w:cs="Times New Roman"/>
                <w:sz w:val="24"/>
                <w:szCs w:val="24"/>
                <w:lang w:val="es-419"/>
              </w:rPr>
            </w:pPr>
            <w:r>
              <w:rPr>
                <w:rFonts w:ascii="Cambria Math" w:hAnsi="Cambria Math" w:cs="Cambria Math"/>
                <w:sz w:val="24"/>
                <w:szCs w:val="24"/>
                <w:lang w:val="es-419"/>
              </w:rPr>
              <w:t>▸</w:t>
            </w:r>
            <w:r>
              <w:rPr>
                <w:rFonts w:ascii="Times New Roman" w:hAnsi="Times New Roman" w:cs="Times New Roman"/>
                <w:sz w:val="24"/>
                <w:szCs w:val="24"/>
                <w:lang w:val="es-419"/>
              </w:rPr>
              <w:t xml:space="preserve"> PCR-09 / PCR-10: "Revisar requisitos jurídicos" → luego → "Revisar requisitos técnicos" </w:t>
            </w:r>
          </w:p>
          <w:p w14:paraId="2B560CAC" w14:textId="4B1E661A" w:rsidR="00E07753" w:rsidRPr="00631CC7" w:rsidRDefault="00E07753" w:rsidP="00FD3896">
            <w:pPr>
              <w:spacing w:after="60"/>
              <w:rPr>
                <w:rFonts w:ascii="Times New Roman" w:hAnsi="Times New Roman" w:cs="Times New Roman"/>
                <w:sz w:val="24"/>
                <w:szCs w:val="24"/>
                <w:lang w:val="es-419"/>
              </w:rPr>
            </w:pPr>
            <w:r>
              <w:rPr>
                <w:rFonts w:ascii="Cambria Math" w:hAnsi="Cambria Math" w:cs="Cambria Math"/>
                <w:sz w:val="24"/>
                <w:szCs w:val="24"/>
                <w:lang w:val="es-419"/>
              </w:rPr>
              <w:t>▸</w:t>
            </w:r>
            <w:r>
              <w:rPr>
                <w:rFonts w:ascii="Times New Roman" w:hAnsi="Times New Roman" w:cs="Times New Roman"/>
                <w:sz w:val="24"/>
                <w:szCs w:val="24"/>
                <w:lang w:val="es-419"/>
              </w:rPr>
              <w:t xml:space="preserve"> PCR-12 · Fase 2: "Analizar técnicamente" → luego → "Elaborar concepto jurídico" </w:t>
            </w:r>
          </w:p>
          <w:p w14:paraId="31EB94C1" w14:textId="665B5D00" w:rsidR="00E07753" w:rsidRPr="00631CC7" w:rsidRDefault="00E07753" w:rsidP="00FD3896">
            <w:pPr>
              <w:spacing w:after="60"/>
              <w:rPr>
                <w:rFonts w:ascii="Times New Roman" w:hAnsi="Times New Roman" w:cs="Times New Roman"/>
                <w:sz w:val="24"/>
                <w:szCs w:val="24"/>
                <w:lang w:val="es-419"/>
              </w:rPr>
            </w:pPr>
            <w:r>
              <w:rPr>
                <w:rFonts w:ascii="Cambria Math" w:hAnsi="Cambria Math" w:cs="Cambria Math"/>
                <w:sz w:val="24"/>
                <w:szCs w:val="24"/>
                <w:lang w:val="es-419"/>
              </w:rPr>
              <w:t>▸</w:t>
            </w:r>
            <w:r>
              <w:rPr>
                <w:rFonts w:ascii="Times New Roman" w:hAnsi="Times New Roman" w:cs="Times New Roman"/>
                <w:sz w:val="24"/>
                <w:szCs w:val="24"/>
                <w:lang w:val="es-419"/>
              </w:rPr>
              <w:t xml:space="preserve"> PCR-24 · Fases 1–3: Revisión par jurídico como punto de control exclusivo, sin revisión simultánea técnica</w:t>
            </w:r>
          </w:p>
        </w:tc>
      </w:tr>
      <w:tr w:rsidR="00E07753" w:rsidRPr="00B722F7" w14:paraId="2A2FD702" w14:textId="77777777" w:rsidTr="00E07753">
        <w:tc>
          <w:tcPr>
            <w:tcW w:w="3118" w:type="dxa"/>
            <w:tcMar>
              <w:top w:w="80" w:type="dxa"/>
              <w:left w:w="120" w:type="dxa"/>
              <w:bottom w:w="80" w:type="dxa"/>
              <w:right w:w="120" w:type="dxa"/>
            </w:tcMar>
          </w:tcPr>
          <w:p w14:paraId="32F1B431"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7D9A7963"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Etapa1-Juridico es el cuello de botella dominante en todas las tipologías de licencia Cannabis, absorbiendo entre el 43.8% y el 47.7% del tiempo total cuando es el estado crítico. Los propios coordinadores identificaron la "revisión simultánea técnico-jurídica" como la mejora de mayor impacto posible sin cambio normativo (P52). </w:t>
            </w:r>
          </w:p>
        </w:tc>
      </w:tr>
      <w:tr w:rsidR="00E07753" w:rsidRPr="00B722F7" w14:paraId="3CC6C28D" w14:textId="77777777" w:rsidTr="00E07753">
        <w:tc>
          <w:tcPr>
            <w:tcW w:w="3118" w:type="dxa"/>
            <w:tcMar>
              <w:top w:w="80" w:type="dxa"/>
              <w:left w:w="120" w:type="dxa"/>
              <w:bottom w:w="80" w:type="dxa"/>
              <w:right w:w="120" w:type="dxa"/>
            </w:tcMar>
          </w:tcPr>
          <w:p w14:paraId="08582DF0"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39E70B3B"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Distribución simultánea: convertir el paso único "Revisar [A] → Revisar [B]" en una asignación bifurcada desde el centralizador al jurídico y al técnico al mismo tiempo, con un punto de convergencia posterior.</w:t>
            </w:r>
          </w:p>
          <w:p w14:paraId="6FA6B55D"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PCR-09/10: distribuir al jurídico y al técnico en el paso 02 ("Recibir y distribuir"), no de forma secuencial. Añadir punto de convergencia antes de "Revisar y aprobar el acto administrativo".</w:t>
            </w:r>
          </w:p>
          <w:p w14:paraId="6988B64E"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PCR-12: extender el paralelismo que ya existe para el financiero (paso 03 del centralizador) para incluir al jurídico desde el inicio, no esperar a Fase 3.</w:t>
            </w:r>
          </w:p>
        </w:tc>
      </w:tr>
      <w:tr w:rsidR="00E07753" w:rsidRPr="00B722F7" w14:paraId="7B76F3D9" w14:textId="77777777" w:rsidTr="00E07753">
        <w:tc>
          <w:tcPr>
            <w:tcW w:w="3118" w:type="dxa"/>
            <w:tcMar>
              <w:top w:w="80" w:type="dxa"/>
              <w:left w:w="120" w:type="dxa"/>
              <w:bottom w:w="80" w:type="dxa"/>
              <w:right w:w="120" w:type="dxa"/>
            </w:tcMar>
          </w:tcPr>
          <w:p w14:paraId="30226A80"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335C6AB8"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Reducción potencial de 15–25% del tiempo total en procesos donde la cadena técnica-jurídica opera secuencialmente. </w:t>
            </w:r>
          </w:p>
        </w:tc>
      </w:tr>
    </w:tbl>
    <w:p w14:paraId="1D75D853" w14:textId="1EE2FC95" w:rsidR="00E07753" w:rsidRPr="00DC0666" w:rsidRDefault="002B2922" w:rsidP="00E07753">
      <w:pPr>
        <w:spacing w:before="40" w:after="160"/>
        <w:rPr>
          <w:rFonts w:ascii="Times New Roman" w:hAnsi="Times New Roman" w:cs="Times New Roman"/>
          <w:sz w:val="24"/>
          <w:szCs w:val="24"/>
          <w:lang w:val="es-419"/>
        </w:rPr>
      </w:pPr>
      <w:r>
        <w:rPr>
          <w:rFonts w:ascii="Times New Roman" w:hAnsi="Times New Roman" w:cs="Times New Roman"/>
          <w:sz w:val="24"/>
          <w:szCs w:val="24"/>
          <w:lang w:val="es-419"/>
        </w:rPr>
        <w:lastRenderedPageBreak/>
        <w:t xml:space="preserve">En reunión de concertación y revisión de la oportunidad de optimización sostenida con la líder del grupo de Cannabis, Lina Paola Cardenas, y el subdirector Ricardo Andrés Murillo el </w:t>
      </w:r>
      <w:proofErr w:type="gramStart"/>
      <w:r>
        <w:rPr>
          <w:rFonts w:ascii="Times New Roman" w:hAnsi="Times New Roman" w:cs="Times New Roman"/>
          <w:sz w:val="24"/>
          <w:szCs w:val="24"/>
          <w:lang w:val="es-419"/>
        </w:rPr>
        <w:t>día martes</w:t>
      </w:r>
      <w:proofErr w:type="gramEnd"/>
      <w:r>
        <w:rPr>
          <w:rFonts w:ascii="Times New Roman" w:hAnsi="Times New Roman" w:cs="Times New Roman"/>
          <w:sz w:val="24"/>
          <w:szCs w:val="24"/>
          <w:lang w:val="es-419"/>
        </w:rPr>
        <w:t xml:space="preserve"> 19 de mayo se definió la aceptación de esta propuesta como oportunidad de optimización de los procesos asociados a la subdirección. Tras reunión sostenida el día 22 de mayo con el líder del equipo de Sistemas, Eduar Giovanni Romero, se determinó que esta oportunidad de optimización se inscribe en el marco de aquellas cuya realización implicaría un proceso estructurar de reorganización de las plataformas de información vigentes al momento. En este orden de ideas se determina que su incorporación </w:t>
      </w:r>
      <w:r w:rsidR="008714BF">
        <w:rPr>
          <w:rFonts w:ascii="Times New Roman" w:hAnsi="Times New Roman" w:cs="Times New Roman"/>
          <w:sz w:val="24"/>
          <w:szCs w:val="24"/>
          <w:lang w:val="es-419"/>
        </w:rPr>
        <w:t>tendría ventana de oportunidad en un proceso de eventual rediseño MICC- SICOQ. De cara a ello, la oportunidad se incorpora únicamente en la versión II de los flujogramas de los procesos de la subdirección, en que se presentan recomendaciones a considerar para el rediseño estructural de plataforma.</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13760AEC" w14:textId="77777777" w:rsidTr="00E07753">
        <w:tc>
          <w:tcPr>
            <w:tcW w:w="10080" w:type="dxa"/>
            <w:gridSpan w:val="2"/>
            <w:tcMar>
              <w:top w:w="80" w:type="dxa"/>
              <w:left w:w="120" w:type="dxa"/>
              <w:bottom w:w="80" w:type="dxa"/>
              <w:right w:w="120" w:type="dxa"/>
            </w:tcMar>
          </w:tcPr>
          <w:p w14:paraId="4CF8B1CE" w14:textId="77777777" w:rsidR="00E07753" w:rsidRPr="00B722F7" w:rsidRDefault="00E07753" w:rsidP="00FD3896">
            <w:pPr>
              <w:jc w:val="center"/>
              <w:rPr>
                <w:rFonts w:ascii="Times New Roman" w:hAnsi="Times New Roman" w:cs="Times New Roman"/>
                <w:b/>
                <w:bCs/>
                <w:sz w:val="24"/>
                <w:szCs w:val="24"/>
                <w:lang w:val="es-419"/>
              </w:rPr>
            </w:pPr>
            <w:r w:rsidRPr="00B722F7">
              <w:rPr>
                <w:rFonts w:ascii="Times New Roman" w:eastAsia="DM Mono" w:hAnsi="Times New Roman" w:cs="Times New Roman"/>
                <w:b/>
                <w:bCs/>
                <w:sz w:val="24"/>
                <w:szCs w:val="24"/>
                <w:lang w:val="es-419"/>
              </w:rPr>
              <w:t>T-</w:t>
            </w:r>
            <w:proofErr w:type="gramStart"/>
            <w:r w:rsidRPr="00B722F7">
              <w:rPr>
                <w:rFonts w:ascii="Times New Roman" w:eastAsia="DM Mono" w:hAnsi="Times New Roman" w:cs="Times New Roman"/>
                <w:b/>
                <w:bCs/>
                <w:sz w:val="24"/>
                <w:szCs w:val="24"/>
                <w:lang w:val="es-419"/>
              </w:rPr>
              <w:t xml:space="preserve">2  </w:t>
            </w:r>
            <w:r w:rsidRPr="00B722F7">
              <w:rPr>
                <w:rFonts w:ascii="Times New Roman" w:hAnsi="Times New Roman" w:cs="Times New Roman"/>
                <w:b/>
                <w:bCs/>
                <w:sz w:val="24"/>
                <w:szCs w:val="24"/>
                <w:lang w:val="es-419"/>
              </w:rPr>
              <w:t>Introducir</w:t>
            </w:r>
            <w:proofErr w:type="gramEnd"/>
            <w:r w:rsidRPr="00B722F7">
              <w:rPr>
                <w:rFonts w:ascii="Times New Roman" w:hAnsi="Times New Roman" w:cs="Times New Roman"/>
                <w:b/>
                <w:bCs/>
                <w:sz w:val="24"/>
                <w:szCs w:val="24"/>
                <w:lang w:val="es-419"/>
              </w:rPr>
              <w:t xml:space="preserve"> </w:t>
            </w:r>
            <w:proofErr w:type="spellStart"/>
            <w:r w:rsidRPr="00B722F7">
              <w:rPr>
                <w:rFonts w:ascii="Times New Roman" w:hAnsi="Times New Roman" w:cs="Times New Roman"/>
                <w:b/>
                <w:bCs/>
                <w:sz w:val="24"/>
                <w:szCs w:val="24"/>
                <w:lang w:val="es-419"/>
              </w:rPr>
              <w:t>pre-validación</w:t>
            </w:r>
            <w:proofErr w:type="spellEnd"/>
            <w:r w:rsidRPr="00B722F7">
              <w:rPr>
                <w:rFonts w:ascii="Times New Roman" w:hAnsi="Times New Roman" w:cs="Times New Roman"/>
                <w:b/>
                <w:bCs/>
                <w:sz w:val="24"/>
                <w:szCs w:val="24"/>
                <w:lang w:val="es-419"/>
              </w:rPr>
              <w:t xml:space="preserve"> documental antes del ingreso formal al flujo de revisión</w:t>
            </w:r>
          </w:p>
          <w:p w14:paraId="7BCA1AE0" w14:textId="39442AC8" w:rsidR="00E07753" w:rsidRPr="009A741D" w:rsidRDefault="00E07753" w:rsidP="00FD3896">
            <w:pPr>
              <w:spacing w:after="60"/>
              <w:jc w:val="center"/>
              <w:rPr>
                <w:rFonts w:ascii="Cambria Math" w:hAnsi="Cambria Math" w:cs="Cambria Math"/>
                <w:sz w:val="24"/>
                <w:szCs w:val="24"/>
                <w:lang w:val="es-419"/>
              </w:rPr>
            </w:pPr>
            <w:proofErr w:type="gramStart"/>
            <w:r w:rsidRPr="00B722F7">
              <w:rPr>
                <w:rFonts w:ascii="Times New Roman" w:hAnsi="Times New Roman" w:cs="Times New Roman"/>
                <w:b/>
                <w:bCs/>
                <w:sz w:val="24"/>
                <w:szCs w:val="24"/>
                <w:lang w:val="es-419"/>
              </w:rPr>
              <w:t>TRANSVERSAL  ·</w:t>
            </w:r>
            <w:proofErr w:type="gramEnd"/>
            <w:r w:rsidRPr="00B722F7">
              <w:rPr>
                <w:rFonts w:ascii="Times New Roman" w:hAnsi="Times New Roman" w:cs="Times New Roman"/>
                <w:b/>
                <w:bCs/>
                <w:sz w:val="24"/>
                <w:szCs w:val="24"/>
                <w:lang w:val="es-419"/>
              </w:rPr>
              <w:t xml:space="preserve">  Todos los procesos</w:t>
            </w:r>
            <w:r w:rsidR="009A741D" w:rsidRPr="00B722F7">
              <w:rPr>
                <w:rFonts w:ascii="Times New Roman" w:hAnsi="Times New Roman" w:cs="Times New Roman"/>
                <w:b/>
                <w:bCs/>
                <w:sz w:val="24"/>
                <w:szCs w:val="24"/>
                <w:lang w:val="es-419"/>
              </w:rPr>
              <w:t>.</w:t>
            </w:r>
            <w:r w:rsidR="009A741D" w:rsidRPr="009A741D">
              <w:rPr>
                <w:rFonts w:ascii="Times New Roman" w:hAnsi="Times New Roman" w:cs="Times New Roman"/>
                <w:b/>
                <w:bCs/>
                <w:sz w:val="24"/>
                <w:szCs w:val="24"/>
                <w:lang w:val="es-419"/>
              </w:rPr>
              <w:t xml:space="preserve"> </w:t>
            </w:r>
          </w:p>
        </w:tc>
      </w:tr>
      <w:tr w:rsidR="00E07753" w:rsidRPr="00B722F7" w14:paraId="7EC00B40" w14:textId="77777777" w:rsidTr="00E07753">
        <w:tc>
          <w:tcPr>
            <w:tcW w:w="3118" w:type="dxa"/>
            <w:tcMar>
              <w:top w:w="80" w:type="dxa"/>
              <w:left w:w="120" w:type="dxa"/>
              <w:bottom w:w="80" w:type="dxa"/>
              <w:right w:w="120" w:type="dxa"/>
            </w:tcMar>
          </w:tcPr>
          <w:p w14:paraId="328DC9D7"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0485093D"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En todos los procesos: la decisión "¿La documentación está completa?" ocurre después de que el centralizador ya distribuyó. El problema está antes, en el formulario de radicación que no valida antes de enviar.</w:t>
            </w:r>
          </w:p>
        </w:tc>
      </w:tr>
      <w:tr w:rsidR="00E07753" w:rsidRPr="00B722F7" w14:paraId="2783337C" w14:textId="77777777" w:rsidTr="00E07753">
        <w:tc>
          <w:tcPr>
            <w:tcW w:w="3118" w:type="dxa"/>
            <w:tcMar>
              <w:top w:w="80" w:type="dxa"/>
              <w:left w:w="120" w:type="dxa"/>
              <w:bottom w:w="80" w:type="dxa"/>
              <w:right w:w="120" w:type="dxa"/>
            </w:tcMar>
          </w:tcPr>
          <w:p w14:paraId="287C88E4"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Evidencia encuesta</w:t>
            </w:r>
          </w:p>
        </w:tc>
        <w:tc>
          <w:tcPr>
            <w:tcW w:w="6962" w:type="dxa"/>
            <w:tcMar>
              <w:top w:w="80" w:type="dxa"/>
              <w:left w:w="120" w:type="dxa"/>
              <w:bottom w:w="80" w:type="dxa"/>
              <w:right w:w="120" w:type="dxa"/>
            </w:tcMar>
          </w:tcPr>
          <w:p w14:paraId="4C9C695F"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64.8% de los </w:t>
            </w:r>
            <w:proofErr w:type="spellStart"/>
            <w:r>
              <w:rPr>
                <w:rFonts w:ascii="Times New Roman" w:hAnsi="Times New Roman" w:cs="Times New Roman"/>
                <w:sz w:val="24"/>
                <w:szCs w:val="24"/>
                <w:lang w:val="es-419"/>
              </w:rPr>
              <w:t>respondentes</w:t>
            </w:r>
            <w:proofErr w:type="spellEnd"/>
            <w:r>
              <w:rPr>
                <w:rFonts w:ascii="Times New Roman" w:hAnsi="Times New Roman" w:cs="Times New Roman"/>
                <w:sz w:val="24"/>
                <w:szCs w:val="24"/>
                <w:lang w:val="es-419"/>
              </w:rPr>
              <w:t xml:space="preserve"> (n=57) cree que los requerimientos serían evitables con requisitos más claros o formularios más completos (P64). Los centralizadores reportan que las inconsistencias más frecuentes son documentos incompletos y tipologías incorrectas desde la radicación inicial (P42).</w:t>
            </w:r>
          </w:p>
        </w:tc>
      </w:tr>
      <w:tr w:rsidR="00E07753" w:rsidRPr="00B722F7" w14:paraId="50AA8E4C" w14:textId="77777777" w:rsidTr="00E07753">
        <w:tc>
          <w:tcPr>
            <w:tcW w:w="3118" w:type="dxa"/>
            <w:tcMar>
              <w:top w:w="80" w:type="dxa"/>
              <w:left w:w="120" w:type="dxa"/>
              <w:bottom w:w="80" w:type="dxa"/>
              <w:right w:w="120" w:type="dxa"/>
            </w:tcMar>
          </w:tcPr>
          <w:p w14:paraId="6F5AEAF2"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0DF42A06" w14:textId="77777777" w:rsidR="00E07753" w:rsidRPr="00DC0666" w:rsidRDefault="00E07753" w:rsidP="00FD3896">
            <w:pPr>
              <w:pStyle w:val="ListParagraph"/>
              <w:numPr>
                <w:ilvl w:val="0"/>
                <w:numId w:val="2"/>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 xml:space="preserve">Añadir paso previo: </w:t>
            </w:r>
            <w:proofErr w:type="spellStart"/>
            <w:r>
              <w:rPr>
                <w:rFonts w:ascii="Times New Roman" w:hAnsi="Times New Roman" w:cs="Times New Roman"/>
                <w:sz w:val="24"/>
                <w:szCs w:val="24"/>
                <w:lang w:val="es-419"/>
              </w:rPr>
              <w:t>pre-validación</w:t>
            </w:r>
            <w:proofErr w:type="spellEnd"/>
            <w:r>
              <w:rPr>
                <w:rFonts w:ascii="Times New Roman" w:hAnsi="Times New Roman" w:cs="Times New Roman"/>
                <w:sz w:val="24"/>
                <w:szCs w:val="24"/>
                <w:lang w:val="es-419"/>
              </w:rPr>
              <w:t xml:space="preserve"> automática en MICC/SICOQ al momento de la radicación. Hacer que el formulario no permita enviar si campos obligatorios están vacíos o si la tipología no corresponde al perfil del usuario.</w:t>
            </w:r>
          </w:p>
          <w:p w14:paraId="6AFCCF11" w14:textId="77777777" w:rsidR="00E07753" w:rsidRPr="00DC0666" w:rsidRDefault="00E07753" w:rsidP="00FD3896">
            <w:pPr>
              <w:pStyle w:val="ListParagraph"/>
              <w:numPr>
                <w:ilvl w:val="0"/>
                <w:numId w:val="2"/>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Incluir en el flujograma (antes del paso 01 actual) la decisión: "¿La solicitud pasa la validación automática de campos mínimos?" → NO: devuelve al usuario sin radicar / SÍ: ingresa al flujo.</w:t>
            </w:r>
          </w:p>
          <w:p w14:paraId="7FA0A36D" w14:textId="77777777" w:rsidR="00E07753" w:rsidRPr="00DC0666" w:rsidRDefault="00E07753" w:rsidP="00FD3896">
            <w:pPr>
              <w:pStyle w:val="ListParagraph"/>
              <w:numPr>
                <w:ilvl w:val="0"/>
                <w:numId w:val="2"/>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Complementar con guías visuales de requisitos por tipo de trámite, accesibles desde la plataforma externa al usuario.</w:t>
            </w:r>
          </w:p>
        </w:tc>
      </w:tr>
      <w:tr w:rsidR="00E07753" w:rsidRPr="00B722F7" w14:paraId="00B5D18E" w14:textId="77777777" w:rsidTr="00E07753">
        <w:tc>
          <w:tcPr>
            <w:tcW w:w="3118" w:type="dxa"/>
            <w:tcMar>
              <w:top w:w="80" w:type="dxa"/>
              <w:left w:w="120" w:type="dxa"/>
              <w:bottom w:w="80" w:type="dxa"/>
              <w:right w:w="120" w:type="dxa"/>
            </w:tcMar>
          </w:tcPr>
          <w:p w14:paraId="3A21E3A2"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41269884"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Cada ciclo de requerimiento-subsanación evitado recupera el plazo completo de respuesta del usuario más el tiempo de revisión interna del requerimiento.</w:t>
            </w:r>
          </w:p>
        </w:tc>
      </w:tr>
    </w:tbl>
    <w:p w14:paraId="5A34E0A4" w14:textId="67D51F87" w:rsidR="00E07753" w:rsidRPr="00DC0666" w:rsidRDefault="008714BF" w:rsidP="00E07753">
      <w:pPr>
        <w:spacing w:before="40" w:after="160"/>
        <w:rPr>
          <w:rFonts w:ascii="Times New Roman" w:hAnsi="Times New Roman" w:cs="Times New Roman"/>
          <w:sz w:val="24"/>
          <w:szCs w:val="24"/>
          <w:lang w:val="es-419"/>
        </w:rPr>
      </w:pPr>
      <w:r>
        <w:rPr>
          <w:rFonts w:ascii="Times New Roman" w:hAnsi="Times New Roman" w:cs="Times New Roman"/>
          <w:sz w:val="24"/>
          <w:szCs w:val="24"/>
          <w:lang w:val="es-419"/>
        </w:rPr>
        <w:t xml:space="preserve">En reunión de concertación y revisión de la oportunidad de optimización se definió la aceptación de esta propuesta como oportunidad de mejora de los procesos asociados a la subdirección. Tras reunión sostenida el día 22 de mayo con el líder del equipo de Sistemas, se determinó que este equipo ya ha venido desarrollando un ejercicio similar en el marco del programa </w:t>
      </w:r>
      <w:proofErr w:type="spellStart"/>
      <w:r>
        <w:rPr>
          <w:rFonts w:ascii="Times New Roman" w:hAnsi="Times New Roman" w:cs="Times New Roman"/>
          <w:sz w:val="24"/>
          <w:szCs w:val="24"/>
          <w:lang w:val="es-419"/>
        </w:rPr>
        <w:t>iNNpulsa</w:t>
      </w:r>
      <w:proofErr w:type="spellEnd"/>
      <w:r>
        <w:rPr>
          <w:rFonts w:ascii="Times New Roman" w:hAnsi="Times New Roman" w:cs="Times New Roman"/>
          <w:sz w:val="24"/>
          <w:szCs w:val="24"/>
          <w:lang w:val="es-419"/>
        </w:rPr>
        <w:t xml:space="preserve">, ejercicio lanzado el día 21 de mayo a producción para la </w:t>
      </w:r>
      <w:r w:rsidRPr="00482FE3">
        <w:rPr>
          <w:rFonts w:ascii="Times New Roman" w:hAnsi="Times New Roman" w:cs="Times New Roman"/>
          <w:sz w:val="24"/>
          <w:szCs w:val="24"/>
          <w:lang w:val="es-419"/>
        </w:rPr>
        <w:t>plataforma MICC.</w:t>
      </w:r>
      <w:r w:rsidRPr="00482FE3">
        <w:rPr>
          <w:rFonts w:ascii="Cambria Math" w:hAnsi="Cambria Math" w:cs="Cambria Math"/>
          <w:sz w:val="24"/>
          <w:szCs w:val="24"/>
          <w:lang w:val="es-419"/>
        </w:rPr>
        <w:t xml:space="preserve"> En este trabajo adelantado para los trámites de Cannabis se </w:t>
      </w:r>
      <w:r w:rsidR="00EE2585" w:rsidRPr="00482FE3">
        <w:rPr>
          <w:rFonts w:ascii="Cambria Math" w:hAnsi="Cambria Math" w:cs="Cambria Math"/>
          <w:sz w:val="24"/>
          <w:szCs w:val="24"/>
          <w:lang w:val="es-419"/>
        </w:rPr>
        <w:t>definieron</w:t>
      </w:r>
      <w:r w:rsidRPr="00482FE3">
        <w:rPr>
          <w:rFonts w:ascii="Cambria Math" w:hAnsi="Cambria Math" w:cs="Cambria Math"/>
          <w:sz w:val="24"/>
          <w:szCs w:val="24"/>
          <w:lang w:val="es-419"/>
        </w:rPr>
        <w:t xml:space="preserve"> criterios por cada requisito, y con </w:t>
      </w:r>
      <w:r w:rsidRPr="00482FE3">
        <w:rPr>
          <w:rFonts w:ascii="Cambria Math" w:hAnsi="Cambria Math" w:cs="Cambria Math"/>
          <w:sz w:val="24"/>
          <w:szCs w:val="24"/>
          <w:lang w:val="es-419"/>
        </w:rPr>
        <w:lastRenderedPageBreak/>
        <w:t>base en esos criterios</w:t>
      </w:r>
      <w:r w:rsidR="00EE2585" w:rsidRPr="00482FE3">
        <w:rPr>
          <w:rFonts w:ascii="Cambria Math" w:hAnsi="Cambria Math" w:cs="Cambria Math"/>
          <w:sz w:val="24"/>
          <w:szCs w:val="24"/>
          <w:lang w:val="es-419"/>
        </w:rPr>
        <w:t xml:space="preserve"> </w:t>
      </w:r>
      <w:r w:rsidRPr="00482FE3">
        <w:rPr>
          <w:rFonts w:ascii="Cambria Math" w:hAnsi="Cambria Math" w:cs="Cambria Math"/>
          <w:sz w:val="24"/>
          <w:szCs w:val="24"/>
          <w:lang w:val="es-419"/>
        </w:rPr>
        <w:t xml:space="preserve">se produjeron los desarrollos para que, cuando el usuario </w:t>
      </w:r>
      <w:r w:rsidR="00EE2585" w:rsidRPr="00482FE3">
        <w:rPr>
          <w:rFonts w:ascii="Cambria Math" w:hAnsi="Cambria Math" w:cs="Cambria Math"/>
          <w:sz w:val="24"/>
          <w:szCs w:val="24"/>
          <w:lang w:val="es-419"/>
        </w:rPr>
        <w:t>envía</w:t>
      </w:r>
      <w:r w:rsidRPr="00482FE3">
        <w:rPr>
          <w:rFonts w:ascii="Cambria Math" w:hAnsi="Cambria Math" w:cs="Cambria Math"/>
          <w:sz w:val="24"/>
          <w:szCs w:val="24"/>
          <w:lang w:val="es-419"/>
        </w:rPr>
        <w:t xml:space="preserve"> </w:t>
      </w:r>
      <w:r w:rsidR="00EE2585" w:rsidRPr="00482FE3">
        <w:rPr>
          <w:rFonts w:ascii="Cambria Math" w:hAnsi="Cambria Math" w:cs="Cambria Math"/>
          <w:sz w:val="24"/>
          <w:szCs w:val="24"/>
          <w:lang w:val="es-419"/>
        </w:rPr>
        <w:t>un</w:t>
      </w:r>
      <w:r w:rsidRPr="00482FE3">
        <w:rPr>
          <w:rFonts w:ascii="Cambria Math" w:hAnsi="Cambria Math" w:cs="Cambria Math"/>
          <w:sz w:val="24"/>
          <w:szCs w:val="24"/>
          <w:lang w:val="es-419"/>
        </w:rPr>
        <w:t xml:space="preserve"> requerimiento, un sistema IA </w:t>
      </w:r>
      <w:r w:rsidR="00EE2585" w:rsidRPr="00482FE3">
        <w:rPr>
          <w:rFonts w:ascii="Cambria Math" w:hAnsi="Cambria Math" w:cs="Cambria Math"/>
          <w:sz w:val="24"/>
          <w:szCs w:val="24"/>
          <w:lang w:val="es-419"/>
        </w:rPr>
        <w:t>efectúe</w:t>
      </w:r>
      <w:r w:rsidRPr="00482FE3">
        <w:rPr>
          <w:rFonts w:ascii="Cambria Math" w:hAnsi="Cambria Math" w:cs="Cambria Math"/>
          <w:sz w:val="24"/>
          <w:szCs w:val="24"/>
          <w:lang w:val="es-419"/>
        </w:rPr>
        <w:t xml:space="preserve"> la validación de si </w:t>
      </w:r>
      <w:r w:rsidR="00EE2585" w:rsidRPr="00482FE3">
        <w:rPr>
          <w:rFonts w:ascii="Cambria Math" w:hAnsi="Cambria Math" w:cs="Cambria Math"/>
          <w:sz w:val="24"/>
          <w:szCs w:val="24"/>
          <w:lang w:val="es-419"/>
        </w:rPr>
        <w:t>los</w:t>
      </w:r>
      <w:r w:rsidRPr="00482FE3">
        <w:rPr>
          <w:rFonts w:ascii="Cambria Math" w:hAnsi="Cambria Math" w:cs="Cambria Math"/>
          <w:sz w:val="24"/>
          <w:szCs w:val="24"/>
          <w:lang w:val="es-419"/>
        </w:rPr>
        <w:t xml:space="preserve"> documento que </w:t>
      </w:r>
      <w:r w:rsidR="00EE2585" w:rsidRPr="00482FE3">
        <w:rPr>
          <w:rFonts w:ascii="Cambria Math" w:hAnsi="Cambria Math" w:cs="Cambria Math"/>
          <w:sz w:val="24"/>
          <w:szCs w:val="24"/>
          <w:lang w:val="es-419"/>
        </w:rPr>
        <w:t>está</w:t>
      </w:r>
      <w:r w:rsidRPr="00482FE3">
        <w:rPr>
          <w:rFonts w:ascii="Cambria Math" w:hAnsi="Cambria Math" w:cs="Cambria Math"/>
          <w:sz w:val="24"/>
          <w:szCs w:val="24"/>
          <w:lang w:val="es-419"/>
        </w:rPr>
        <w:t xml:space="preserve"> aportando el usuario cumple</w:t>
      </w:r>
      <w:r w:rsidR="00EE2585" w:rsidRPr="00482FE3">
        <w:rPr>
          <w:rFonts w:ascii="Cambria Math" w:hAnsi="Cambria Math" w:cs="Cambria Math"/>
          <w:sz w:val="24"/>
          <w:szCs w:val="24"/>
          <w:lang w:val="es-419"/>
        </w:rPr>
        <w:t>n</w:t>
      </w:r>
      <w:r w:rsidRPr="00482FE3">
        <w:rPr>
          <w:rFonts w:ascii="Cambria Math" w:hAnsi="Cambria Math" w:cs="Cambria Math"/>
          <w:sz w:val="24"/>
          <w:szCs w:val="24"/>
          <w:lang w:val="es-419"/>
        </w:rPr>
        <w:t xml:space="preserve"> o no con la estructura</w:t>
      </w:r>
      <w:r w:rsidR="00EE2585" w:rsidRPr="00482FE3">
        <w:rPr>
          <w:rFonts w:ascii="Cambria Math" w:hAnsi="Cambria Math" w:cs="Cambria Math"/>
          <w:sz w:val="24"/>
          <w:szCs w:val="24"/>
          <w:lang w:val="es-419"/>
        </w:rPr>
        <w:t xml:space="preserve"> requerida</w:t>
      </w:r>
      <w:r w:rsidRPr="00482FE3">
        <w:rPr>
          <w:rFonts w:ascii="Cambria Math" w:hAnsi="Cambria Math" w:cs="Cambria Math"/>
          <w:sz w:val="24"/>
          <w:szCs w:val="24"/>
          <w:lang w:val="es-419"/>
        </w:rPr>
        <w:t xml:space="preserve">. Al final del proceso el usuario recibe una retroalimentación, en que los criterios se le listan y se le entrega el resultado y explicación de cuales pasaron y </w:t>
      </w:r>
      <w:r w:rsidR="00EE2585" w:rsidRPr="00482FE3">
        <w:rPr>
          <w:rFonts w:ascii="Cambria Math" w:hAnsi="Cambria Math" w:cs="Cambria Math"/>
          <w:sz w:val="24"/>
          <w:szCs w:val="24"/>
          <w:lang w:val="es-419"/>
        </w:rPr>
        <w:t>cuáles</w:t>
      </w:r>
      <w:r w:rsidRPr="00482FE3">
        <w:rPr>
          <w:rFonts w:ascii="Cambria Math" w:hAnsi="Cambria Math" w:cs="Cambria Math"/>
          <w:sz w:val="24"/>
          <w:szCs w:val="24"/>
          <w:lang w:val="es-419"/>
        </w:rPr>
        <w:t xml:space="preserve"> no</w:t>
      </w:r>
      <w:r w:rsidR="00EE2585" w:rsidRPr="00482FE3">
        <w:rPr>
          <w:rFonts w:ascii="Cambria Math" w:hAnsi="Cambria Math" w:cs="Cambria Math"/>
          <w:sz w:val="24"/>
          <w:szCs w:val="24"/>
          <w:lang w:val="es-419"/>
        </w:rPr>
        <w:t xml:space="preserve"> la revisión</w:t>
      </w:r>
      <w:r w:rsidRPr="00482FE3">
        <w:rPr>
          <w:rFonts w:ascii="Cambria Math" w:hAnsi="Cambria Math" w:cs="Cambria Math"/>
          <w:sz w:val="24"/>
          <w:szCs w:val="24"/>
          <w:lang w:val="es-419"/>
        </w:rPr>
        <w:t xml:space="preserve">. En el marco de la propuesta, el ejercicio </w:t>
      </w:r>
      <w:r w:rsidR="00482FE3" w:rsidRPr="00482FE3">
        <w:rPr>
          <w:rFonts w:ascii="Cambria Math" w:hAnsi="Cambria Math" w:cs="Cambria Math"/>
          <w:sz w:val="24"/>
          <w:szCs w:val="24"/>
          <w:lang w:val="es-419"/>
        </w:rPr>
        <w:t>desarrollado desde el grupo de Sistemas</w:t>
      </w:r>
      <w:r w:rsidRPr="00482FE3">
        <w:rPr>
          <w:rFonts w:ascii="Cambria Math" w:hAnsi="Cambria Math" w:cs="Cambria Math"/>
          <w:sz w:val="24"/>
          <w:szCs w:val="24"/>
          <w:lang w:val="es-419"/>
        </w:rPr>
        <w:t xml:space="preserve"> difiere en tanto independientemente de si la validación arroja o no resultados positivos, todos los</w:t>
      </w:r>
      <w:r w:rsidR="00EE2585" w:rsidRPr="00482FE3">
        <w:rPr>
          <w:rFonts w:ascii="Cambria Math" w:hAnsi="Cambria Math" w:cs="Cambria Math"/>
          <w:sz w:val="24"/>
          <w:szCs w:val="24"/>
          <w:lang w:val="es-419"/>
        </w:rPr>
        <w:t xml:space="preserve"> requerimientos ingresan al flujo de radicación.</w:t>
      </w:r>
      <w:r w:rsidRPr="00482FE3">
        <w:rPr>
          <w:rFonts w:ascii="Cambria Math" w:hAnsi="Cambria Math" w:cs="Cambria Math"/>
          <w:sz w:val="24"/>
          <w:szCs w:val="24"/>
          <w:lang w:val="es-419"/>
        </w:rPr>
        <w:t xml:space="preserve"> </w:t>
      </w:r>
      <w:r w:rsidR="00EE2585" w:rsidRPr="00482FE3">
        <w:rPr>
          <w:rFonts w:ascii="Cambria Math" w:hAnsi="Cambria Math" w:cs="Cambria Math"/>
          <w:sz w:val="24"/>
          <w:szCs w:val="24"/>
          <w:lang w:val="es-419"/>
        </w:rPr>
        <w:t>Pese a esto, este desarrollo implica un avance importante en términos de la retroalimentación y comunicación al usuario.</w:t>
      </w:r>
      <w:r w:rsidR="00482FE3">
        <w:rPr>
          <w:rFonts w:ascii="Cambria Math" w:hAnsi="Cambria Math" w:cs="Cambria Math"/>
          <w:sz w:val="24"/>
          <w:szCs w:val="24"/>
          <w:lang w:val="es-419"/>
        </w:rPr>
        <w:t xml:space="preserve"> El equipo de Sistemas informó que tras la evaluación de los resultados post lanzamiento a operación de esta revisión para MICC, se espera considerar el impacto de la mejora para su eventual incorporación en SICOQ. </w:t>
      </w:r>
      <w:r w:rsidR="00482FE3">
        <w:rPr>
          <w:rFonts w:ascii="Cambria Math" w:hAnsi="Cambria Math" w:cs="Cambria Math"/>
          <w:sz w:val="24"/>
          <w:szCs w:val="24"/>
          <w:lang w:val="es-419"/>
        </w:rPr>
        <w:br/>
      </w:r>
      <w:r w:rsidR="00482FE3">
        <w:rPr>
          <w:rFonts w:ascii="Times New Roman" w:hAnsi="Times New Roman" w:cs="Times New Roman"/>
          <w:sz w:val="24"/>
          <w:szCs w:val="24"/>
          <w:lang w:val="es-419"/>
        </w:rPr>
        <w:t>De cara a ello, la oportunidad como transversal para MICC y SICOQ se incorpora únicamente en la versión II de los flujogramas de los procesos de la subdirección, en que se presentan recomendaciones a considerar para el rediseño estructural de plataforma. Para la versión I de los flujogramas, se incorpora únicamente en el caso de los procesos vinculados a Cannabis, y entendido que no se efectúan modificaciones en el ingreso de los trámites al ciclo de radicación.</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2EE70C0E" w14:textId="77777777" w:rsidTr="00E07753">
        <w:tc>
          <w:tcPr>
            <w:tcW w:w="10080" w:type="dxa"/>
            <w:gridSpan w:val="2"/>
            <w:tcMar>
              <w:top w:w="80" w:type="dxa"/>
              <w:left w:w="120" w:type="dxa"/>
              <w:bottom w:w="80" w:type="dxa"/>
              <w:right w:w="120" w:type="dxa"/>
            </w:tcMar>
          </w:tcPr>
          <w:p w14:paraId="399AEC4A" w14:textId="77777777" w:rsidR="00E07753" w:rsidRPr="00B722F7" w:rsidRDefault="00E07753" w:rsidP="00FD3896">
            <w:pPr>
              <w:jc w:val="center"/>
              <w:rPr>
                <w:rFonts w:ascii="Times New Roman" w:hAnsi="Times New Roman" w:cs="Times New Roman"/>
                <w:b/>
                <w:bCs/>
                <w:sz w:val="24"/>
                <w:szCs w:val="24"/>
                <w:lang w:val="es-419"/>
              </w:rPr>
            </w:pPr>
            <w:r w:rsidRPr="00B722F7">
              <w:rPr>
                <w:rFonts w:ascii="Times New Roman" w:eastAsia="DM Mono" w:hAnsi="Times New Roman" w:cs="Times New Roman"/>
                <w:b/>
                <w:bCs/>
                <w:sz w:val="24"/>
                <w:szCs w:val="24"/>
                <w:lang w:val="es-419"/>
              </w:rPr>
              <w:t>T-</w:t>
            </w:r>
            <w:proofErr w:type="gramStart"/>
            <w:r w:rsidRPr="00B722F7">
              <w:rPr>
                <w:rFonts w:ascii="Times New Roman" w:eastAsia="DM Mono" w:hAnsi="Times New Roman" w:cs="Times New Roman"/>
                <w:b/>
                <w:bCs/>
                <w:sz w:val="24"/>
                <w:szCs w:val="24"/>
                <w:lang w:val="es-419"/>
              </w:rPr>
              <w:t xml:space="preserve">3  </w:t>
            </w:r>
            <w:r w:rsidRPr="00B722F7">
              <w:rPr>
                <w:rFonts w:ascii="Times New Roman" w:hAnsi="Times New Roman" w:cs="Times New Roman"/>
                <w:b/>
                <w:bCs/>
                <w:sz w:val="24"/>
                <w:szCs w:val="24"/>
                <w:lang w:val="es-419"/>
              </w:rPr>
              <w:t>Consolidar</w:t>
            </w:r>
            <w:proofErr w:type="gramEnd"/>
            <w:r w:rsidRPr="00B722F7">
              <w:rPr>
                <w:rFonts w:ascii="Times New Roman" w:hAnsi="Times New Roman" w:cs="Times New Roman"/>
                <w:b/>
                <w:bCs/>
                <w:sz w:val="24"/>
                <w:szCs w:val="24"/>
                <w:lang w:val="es-419"/>
              </w:rPr>
              <w:t xml:space="preserve"> requerimientos: emitir uno solo completo en lugar de múltiples parciales secuenciales</w:t>
            </w:r>
          </w:p>
          <w:p w14:paraId="0767A9BA" w14:textId="3D48CDB1" w:rsidR="00E07753" w:rsidRPr="00DC0666" w:rsidRDefault="00E07753" w:rsidP="00FD3896">
            <w:pPr>
              <w:spacing w:after="60"/>
              <w:jc w:val="center"/>
              <w:rPr>
                <w:rFonts w:ascii="Cambria Math" w:hAnsi="Cambria Math" w:cs="Cambria Math"/>
                <w:sz w:val="24"/>
                <w:szCs w:val="24"/>
                <w:lang w:val="es-419"/>
              </w:rPr>
            </w:pPr>
            <w:proofErr w:type="gramStart"/>
            <w:r w:rsidRPr="00B722F7">
              <w:rPr>
                <w:rFonts w:ascii="Times New Roman" w:hAnsi="Times New Roman" w:cs="Times New Roman"/>
                <w:b/>
                <w:bCs/>
                <w:sz w:val="24"/>
                <w:szCs w:val="24"/>
                <w:lang w:val="es-419"/>
              </w:rPr>
              <w:t>TRANSVERSAL  ·</w:t>
            </w:r>
            <w:proofErr w:type="gramEnd"/>
            <w:r w:rsidRPr="00B722F7">
              <w:rPr>
                <w:rFonts w:ascii="Times New Roman" w:hAnsi="Times New Roman" w:cs="Times New Roman"/>
                <w:b/>
                <w:bCs/>
                <w:sz w:val="24"/>
                <w:szCs w:val="24"/>
                <w:lang w:val="es-419"/>
              </w:rPr>
              <w:t xml:space="preserve">  Todos los procesos</w:t>
            </w:r>
            <w:r>
              <w:rPr>
                <w:rFonts w:ascii="Times New Roman" w:hAnsi="Times New Roman" w:cs="Times New Roman"/>
                <w:b/>
                <w:bCs/>
                <w:sz w:val="24"/>
                <w:szCs w:val="24"/>
                <w:lang w:val="es-419"/>
              </w:rPr>
              <w:t xml:space="preserve"> </w:t>
            </w:r>
          </w:p>
        </w:tc>
      </w:tr>
      <w:tr w:rsidR="00E07753" w:rsidRPr="00DC0666" w14:paraId="24F519FA" w14:textId="77777777" w:rsidTr="00E07753">
        <w:tc>
          <w:tcPr>
            <w:tcW w:w="3118" w:type="dxa"/>
            <w:tcMar>
              <w:top w:w="80" w:type="dxa"/>
              <w:left w:w="120" w:type="dxa"/>
              <w:bottom w:w="80" w:type="dxa"/>
              <w:right w:w="120" w:type="dxa"/>
            </w:tcMar>
          </w:tcPr>
          <w:p w14:paraId="70C63380"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7EB29B19"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En todos los procesos: ciclo "Notificar requerimiento" → "¿Responde oportunamente?" → "Revisar respuesta" → "¿Está completa?" → nuevo requerimiento.</w:t>
            </w:r>
          </w:p>
        </w:tc>
      </w:tr>
      <w:tr w:rsidR="00E07753" w:rsidRPr="00B722F7" w14:paraId="2511D48D" w14:textId="77777777" w:rsidTr="00E07753">
        <w:tc>
          <w:tcPr>
            <w:tcW w:w="3118" w:type="dxa"/>
            <w:tcMar>
              <w:top w:w="80" w:type="dxa"/>
              <w:left w:w="120" w:type="dxa"/>
              <w:bottom w:w="80" w:type="dxa"/>
              <w:right w:w="120" w:type="dxa"/>
            </w:tcMar>
          </w:tcPr>
          <w:p w14:paraId="69F24417"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0E2B1002"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El análisis de contenido de P62 muestra que los requerimientos usan lenguaje técnico no accesible y consolidan múltiples solicitudes de forma poco estructurada. La coordinación identifica las "devoluciones por revisiones iniciales incompletas" como generadoras de reprocesos (P9, P13).</w:t>
            </w:r>
          </w:p>
        </w:tc>
      </w:tr>
      <w:tr w:rsidR="00E07753" w:rsidRPr="00DC0666" w14:paraId="6248CD75" w14:textId="77777777" w:rsidTr="00E07753">
        <w:tc>
          <w:tcPr>
            <w:tcW w:w="3118" w:type="dxa"/>
            <w:tcMar>
              <w:top w:w="80" w:type="dxa"/>
              <w:left w:w="120" w:type="dxa"/>
              <w:bottom w:w="80" w:type="dxa"/>
              <w:right w:w="120" w:type="dxa"/>
            </w:tcMar>
          </w:tcPr>
          <w:p w14:paraId="3813E510"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6E47675C"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Política de flujo: el requerimiento debe emitirse UNA SOLA VEZ, cubriendo todas las observaciones técnicas y jurídicas identificadas. </w:t>
            </w:r>
            <w:proofErr w:type="spellStart"/>
            <w:r>
              <w:rPr>
                <w:rFonts w:ascii="Times New Roman" w:hAnsi="Times New Roman" w:cs="Times New Roman"/>
                <w:sz w:val="24"/>
                <w:szCs w:val="24"/>
              </w:rPr>
              <w:t>Eliminar</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lógica</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requerimiento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iterativo</w:t>
            </w:r>
            <w:proofErr w:type="spellEnd"/>
            <w:r>
              <w:rPr>
                <w:rFonts w:ascii="Times New Roman" w:hAnsi="Times New Roman" w:cs="Times New Roman"/>
                <w:sz w:val="24"/>
                <w:szCs w:val="24"/>
              </w:rPr>
              <w:t>.</w:t>
            </w:r>
          </w:p>
          <w:p w14:paraId="44551860"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Verificación interna previa al requerimiento: "¿Se revisaron todos los componentes (técnico, jurídico, CCITE, financiero) antes de emitir?</w:t>
            </w:r>
            <w:proofErr w:type="gramStart"/>
            <w:r>
              <w:rPr>
                <w:rFonts w:ascii="Times New Roman" w:hAnsi="Times New Roman" w:cs="Times New Roman"/>
                <w:sz w:val="24"/>
                <w:szCs w:val="24"/>
                <w:lang w:val="es-419"/>
              </w:rPr>
              <w:t>" :</w:t>
            </w:r>
            <w:proofErr w:type="gramEnd"/>
            <w:r>
              <w:rPr>
                <w:rFonts w:ascii="Times New Roman" w:hAnsi="Times New Roman" w:cs="Times New Roman"/>
                <w:sz w:val="24"/>
                <w:szCs w:val="24"/>
                <w:lang w:val="es-419"/>
              </w:rPr>
              <w:t xml:space="preserve"> solo si todos revisaron, se emite.</w:t>
            </w:r>
          </w:p>
          <w:p w14:paraId="0F9500B5"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proofErr w:type="spellStart"/>
            <w:r>
              <w:rPr>
                <w:rFonts w:ascii="Times New Roman" w:hAnsi="Times New Roman" w:cs="Times New Roman"/>
                <w:sz w:val="24"/>
                <w:szCs w:val="24"/>
              </w:rPr>
              <w:t>Estandarizar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plantillas</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requerimiento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tipo</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trámite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ítems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checkeables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lenguaje</w:t>
            </w:r>
            <w:proofErr w:type="spellEnd"/>
            <w:r>
              <w:rPr>
                <w:rFonts w:ascii="Times New Roman" w:hAnsi="Times New Roman" w:cs="Times New Roman"/>
                <w:sz w:val="24"/>
                <w:szCs w:val="24"/>
              </w:rPr>
              <w:t xml:space="preserve"> no </w:t>
            </w:r>
            <w:proofErr w:type="spellStart"/>
            <w:r>
              <w:rPr>
                <w:rFonts w:ascii="Times New Roman" w:hAnsi="Times New Roman" w:cs="Times New Roman"/>
                <w:sz w:val="24"/>
                <w:szCs w:val="24"/>
              </w:rPr>
              <w:t>técnico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fundamento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normativo</w:t>
            </w:r>
            <w:proofErr w:type="spellEnd"/>
            <w:r>
              <w:rPr>
                <w:rFonts w:ascii="Times New Roman" w:hAnsi="Times New Roman" w:cs="Times New Roman"/>
                <w:sz w:val="24"/>
                <w:szCs w:val="24"/>
              </w:rPr>
              <w:t xml:space="preserve"> al final.</w:t>
            </w:r>
          </w:p>
        </w:tc>
      </w:tr>
      <w:tr w:rsidR="00E07753" w:rsidRPr="00B722F7" w14:paraId="064C5425" w14:textId="77777777" w:rsidTr="00E07753">
        <w:tc>
          <w:tcPr>
            <w:tcW w:w="3118" w:type="dxa"/>
            <w:tcMar>
              <w:top w:w="80" w:type="dxa"/>
              <w:left w:w="120" w:type="dxa"/>
              <w:bottom w:w="80" w:type="dxa"/>
              <w:right w:w="120" w:type="dxa"/>
            </w:tcMar>
          </w:tcPr>
          <w:p w14:paraId="1DFEFA11"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59CC1B9E"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Cada ciclo de requerimiento adicional eliminado equivale al plazo completo de respuesta del usuario más el tiempo de revisión interna. Impacto directo en el tiempo de ciclo total de todos los procesos.</w:t>
            </w:r>
          </w:p>
        </w:tc>
      </w:tr>
    </w:tbl>
    <w:p w14:paraId="566223EF" w14:textId="77777777" w:rsidR="00B722F7" w:rsidRPr="00B722F7" w:rsidRDefault="00B722F7" w:rsidP="00B722F7">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B722F7">
        <w:rPr>
          <w:rFonts w:ascii="Times New Roman" w:hAnsi="Times New Roman" w:cs="Times New Roman"/>
          <w:sz w:val="24"/>
          <w:szCs w:val="24"/>
          <w:lang w:val="es-419"/>
        </w:rPr>
        <w:t>día martes</w:t>
      </w:r>
      <w:proofErr w:type="gramEnd"/>
      <w:r w:rsidRPr="00B722F7">
        <w:rPr>
          <w:rFonts w:ascii="Times New Roman" w:hAnsi="Times New Roman" w:cs="Times New Roman"/>
          <w:sz w:val="24"/>
          <w:szCs w:val="24"/>
          <w:lang w:val="es-419"/>
        </w:rPr>
        <w:t xml:space="preserve"> 19 de mayo se definió la aceptación de esta </w:t>
      </w:r>
      <w:r w:rsidRPr="00B722F7">
        <w:rPr>
          <w:rFonts w:ascii="Times New Roman" w:hAnsi="Times New Roman" w:cs="Times New Roman"/>
          <w:sz w:val="24"/>
          <w:szCs w:val="24"/>
          <w:lang w:val="es-419"/>
        </w:rPr>
        <w:lastRenderedPageBreak/>
        <w:t>propuesta como oportunidad de mejora de los procesos asociados a la subdirección. Tras reunión sostenida el día 22 de mayo con el líder del equipo de Sistemas, se precisó que SICOQ ya tiene una restricción técnica que únicamente permite el envío de un requerimiento por trámite, consolidando en él todas las observaciones técnicas y jurídicas. En ese orden de ideas, la problemática de requerimientos múltiples y secuenciales aplica principalmente a los procesos de Cannabis gestionados en MICC, donde la práctica se presenta con mayor frecuencia. Para MICC, la consolidación está condicionada a la paralelización de las revisiones técnica y jurídica —oportunidad T-1— y a una revisión de orden normativo y procedimental, lo que la ubica en el horizonte de mediano y largo plazo.</w:t>
      </w:r>
    </w:p>
    <w:p w14:paraId="3944B774" w14:textId="5CB8EC29" w:rsidR="00E07753" w:rsidRPr="00B722F7" w:rsidRDefault="00B722F7" w:rsidP="00E07753">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De cara a ello, la oportunidad se incorpora en la versión II de los flujogramas de los procesos de la subdirección como recomendación estructural para los procesos de Cannabis gestionados en MICC. Para los procesos de Sustancias Químicas gestionados en SICOQ, la restricción del sistema vigente resuelve de facto la problemática descrita, por lo que no aplica modificación de fondo en ninguna de las dos versiones.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5FE1B32A" w14:textId="77777777" w:rsidTr="00E07753">
        <w:tc>
          <w:tcPr>
            <w:tcW w:w="10080" w:type="dxa"/>
            <w:gridSpan w:val="2"/>
            <w:tcMar>
              <w:top w:w="80" w:type="dxa"/>
              <w:left w:w="120" w:type="dxa"/>
              <w:bottom w:w="80" w:type="dxa"/>
              <w:right w:w="120" w:type="dxa"/>
            </w:tcMar>
          </w:tcPr>
          <w:p w14:paraId="1C3EB6D5" w14:textId="77777777" w:rsidR="00E07753" w:rsidRPr="009A7C07"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T-</w:t>
            </w:r>
            <w:proofErr w:type="gramStart"/>
            <w:r w:rsidRPr="009A7C07">
              <w:rPr>
                <w:rFonts w:ascii="Times New Roman" w:eastAsia="DM Mono" w:hAnsi="Times New Roman" w:cs="Times New Roman"/>
                <w:b/>
                <w:bCs/>
                <w:sz w:val="24"/>
                <w:szCs w:val="24"/>
                <w:lang w:val="es-419"/>
              </w:rPr>
              <w:t xml:space="preserve">4  </w:t>
            </w:r>
            <w:r w:rsidRPr="009A7C07">
              <w:rPr>
                <w:rFonts w:ascii="Times New Roman" w:hAnsi="Times New Roman" w:cs="Times New Roman"/>
                <w:b/>
                <w:bCs/>
                <w:sz w:val="24"/>
                <w:szCs w:val="24"/>
                <w:lang w:val="es-419"/>
              </w:rPr>
              <w:t>Implementar</w:t>
            </w:r>
            <w:proofErr w:type="gramEnd"/>
            <w:r w:rsidRPr="009A7C07">
              <w:rPr>
                <w:rFonts w:ascii="Times New Roman" w:hAnsi="Times New Roman" w:cs="Times New Roman"/>
                <w:b/>
                <w:bCs/>
                <w:sz w:val="24"/>
                <w:szCs w:val="24"/>
                <w:lang w:val="es-419"/>
              </w:rPr>
              <w:t xml:space="preserve"> tablero de seguimiento de carga por profesional con alertas de acumulación</w:t>
            </w:r>
          </w:p>
          <w:p w14:paraId="2CF8CD1E" w14:textId="73FFB7F3" w:rsidR="00E07753" w:rsidRPr="00DC0666" w:rsidRDefault="00E07753" w:rsidP="00FD3896">
            <w:pPr>
              <w:spacing w:after="60"/>
              <w:jc w:val="center"/>
              <w:rPr>
                <w:rFonts w:ascii="Cambria Math" w:hAnsi="Cambria Math" w:cs="Cambria Math"/>
                <w:sz w:val="24"/>
                <w:szCs w:val="24"/>
                <w:lang w:val="es-419"/>
              </w:rPr>
            </w:pPr>
            <w:proofErr w:type="gramStart"/>
            <w:r w:rsidRPr="009A7C07">
              <w:rPr>
                <w:rFonts w:ascii="Times New Roman" w:hAnsi="Times New Roman" w:cs="Times New Roman"/>
                <w:b/>
                <w:bCs/>
                <w:sz w:val="24"/>
                <w:szCs w:val="24"/>
                <w:lang w:val="es-419"/>
              </w:rPr>
              <w:t>TRANSVERSAL  ·</w:t>
            </w:r>
            <w:proofErr w:type="gramEnd"/>
            <w:r w:rsidRPr="009A7C07">
              <w:rPr>
                <w:rFonts w:ascii="Times New Roman" w:hAnsi="Times New Roman" w:cs="Times New Roman"/>
                <w:b/>
                <w:bCs/>
                <w:sz w:val="24"/>
                <w:szCs w:val="24"/>
                <w:lang w:val="es-419"/>
              </w:rPr>
              <w:t xml:space="preserve">  Todos los procesos</w:t>
            </w:r>
            <w:r w:rsidR="00BD6686" w:rsidRPr="009A7C07">
              <w:rPr>
                <w:rFonts w:ascii="Times New Roman" w:hAnsi="Times New Roman" w:cs="Times New Roman"/>
                <w:b/>
                <w:bCs/>
                <w:sz w:val="24"/>
                <w:szCs w:val="24"/>
                <w:lang w:val="es-419"/>
              </w:rPr>
              <w:t>.</w:t>
            </w:r>
          </w:p>
        </w:tc>
      </w:tr>
      <w:tr w:rsidR="00E07753" w:rsidRPr="00B722F7" w14:paraId="1A9929A4" w14:textId="77777777" w:rsidTr="00E07753">
        <w:tc>
          <w:tcPr>
            <w:tcW w:w="3118" w:type="dxa"/>
            <w:tcMar>
              <w:top w:w="80" w:type="dxa"/>
              <w:left w:w="120" w:type="dxa"/>
              <w:bottom w:w="80" w:type="dxa"/>
              <w:right w:w="120" w:type="dxa"/>
            </w:tcMar>
          </w:tcPr>
          <w:p w14:paraId="70A34618"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42C4FFE1"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El paso "Distribuir" del centralizador no genera alerta si el trámite permanece estático más de N días.</w:t>
            </w:r>
          </w:p>
        </w:tc>
      </w:tr>
      <w:tr w:rsidR="00E07753" w:rsidRPr="00B722F7" w14:paraId="70B524E3" w14:textId="77777777" w:rsidTr="00E07753">
        <w:tc>
          <w:tcPr>
            <w:tcW w:w="3118" w:type="dxa"/>
            <w:tcMar>
              <w:top w:w="80" w:type="dxa"/>
              <w:left w:w="120" w:type="dxa"/>
              <w:bottom w:w="80" w:type="dxa"/>
              <w:right w:w="120" w:type="dxa"/>
            </w:tcMar>
          </w:tcPr>
          <w:p w14:paraId="00DF3653"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0E33B50B"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Jurídico revisor par: más de 50 AA simultáneos para revisar y proyectar (P67). SGDEA: hasta 70 radicados en revisión simultánea. La redistribución ocurre solo mediante comunicación verbal informal (P67). </w:t>
            </w:r>
          </w:p>
        </w:tc>
      </w:tr>
      <w:tr w:rsidR="00E07753" w:rsidRPr="00DC0666" w14:paraId="67E4AC5A" w14:textId="77777777" w:rsidTr="00E07753">
        <w:tc>
          <w:tcPr>
            <w:tcW w:w="3118" w:type="dxa"/>
            <w:tcMar>
              <w:top w:w="80" w:type="dxa"/>
              <w:left w:w="120" w:type="dxa"/>
              <w:bottom w:w="80" w:type="dxa"/>
              <w:right w:w="120" w:type="dxa"/>
            </w:tcMar>
          </w:tcPr>
          <w:p w14:paraId="7054FF27"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07CD65F2"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Añadir en el flujo del centralizador: "Verificar carga actual del profesional asignado antes de distribuir" actualmente no existe este paso.</w:t>
            </w:r>
          </w:p>
          <w:p w14:paraId="6DCCA23E"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Parametrizar en MICC/SICOQ una alerta automática cuando un trámite lleva más de X días hábiles sin cambio de estado, visible para el coordinador del grupo.</w:t>
            </w:r>
          </w:p>
          <w:p w14:paraId="5E79209A"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Añadir punto de control periódico del coordinador: "¿Hay trámites con permanencia &gt; umbral en estado actual?" </w:t>
            </w:r>
            <w:r>
              <w:rPr>
                <w:rFonts w:ascii="Times New Roman" w:hAnsi="Times New Roman" w:cs="Times New Roman"/>
                <w:sz w:val="24"/>
                <w:szCs w:val="24"/>
              </w:rPr>
              <w:t xml:space="preserve">→ SÍ: </w:t>
            </w:r>
            <w:proofErr w:type="spellStart"/>
            <w:r>
              <w:rPr>
                <w:rFonts w:ascii="Times New Roman" w:hAnsi="Times New Roman" w:cs="Times New Roman"/>
                <w:sz w:val="24"/>
                <w:szCs w:val="24"/>
              </w:rPr>
              <w:t>reasignar</w:t>
            </w:r>
            <w:proofErr w:type="spellEnd"/>
            <w:r>
              <w:rPr>
                <w:rFonts w:ascii="Times New Roman" w:hAnsi="Times New Roman" w:cs="Times New Roman"/>
                <w:sz w:val="24"/>
                <w:szCs w:val="24"/>
              </w:rPr>
              <w:t xml:space="preserve"> o </w:t>
            </w:r>
            <w:proofErr w:type="spellStart"/>
            <w:r>
              <w:rPr>
                <w:rFonts w:ascii="Times New Roman" w:hAnsi="Times New Roman" w:cs="Times New Roman"/>
                <w:sz w:val="24"/>
                <w:szCs w:val="24"/>
              </w:rPr>
              <w:t>escalar</w:t>
            </w:r>
            <w:proofErr w:type="spellEnd"/>
            <w:r>
              <w:rPr>
                <w:rFonts w:ascii="Times New Roman" w:hAnsi="Times New Roman" w:cs="Times New Roman"/>
                <w:sz w:val="24"/>
                <w:szCs w:val="24"/>
              </w:rPr>
              <w:t>.</w:t>
            </w:r>
          </w:p>
        </w:tc>
      </w:tr>
      <w:tr w:rsidR="00E07753" w:rsidRPr="00DC0666" w14:paraId="76B3DB40" w14:textId="77777777" w:rsidTr="00E07753">
        <w:tc>
          <w:tcPr>
            <w:tcW w:w="3118" w:type="dxa"/>
            <w:tcMar>
              <w:top w:w="80" w:type="dxa"/>
              <w:left w:w="120" w:type="dxa"/>
              <w:bottom w:w="80" w:type="dxa"/>
              <w:right w:w="120" w:type="dxa"/>
            </w:tcMar>
          </w:tcPr>
          <w:p w14:paraId="4AB4F4ED"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1B250815"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Habilitar redistribución proactiva. </w:t>
            </w:r>
          </w:p>
        </w:tc>
      </w:tr>
    </w:tbl>
    <w:p w14:paraId="3EAF9222" w14:textId="77777777" w:rsidR="00DC2C00" w:rsidRPr="00DC2C00" w:rsidRDefault="00DC2C00" w:rsidP="00DC2C00">
      <w:pPr>
        <w:spacing w:before="40" w:after="160"/>
        <w:rPr>
          <w:rFonts w:ascii="Times New Roman" w:hAnsi="Times New Roman" w:cs="Times New Roman"/>
          <w:sz w:val="24"/>
          <w:szCs w:val="24"/>
          <w:lang w:val="es-419"/>
        </w:rPr>
      </w:pPr>
      <w:r w:rsidRPr="00DC2C00">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DC2C00">
        <w:rPr>
          <w:rFonts w:ascii="Times New Roman" w:hAnsi="Times New Roman" w:cs="Times New Roman"/>
          <w:sz w:val="24"/>
          <w:szCs w:val="24"/>
          <w:lang w:val="es-419"/>
        </w:rPr>
        <w:t>día martes</w:t>
      </w:r>
      <w:proofErr w:type="gramEnd"/>
      <w:r w:rsidRPr="00DC2C00">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determinó que el grupo de Sistemas se encuentra adelantando el desarrollo de un sistema de generación de alertas dentro de SICOQ, con un avance aproximado del 70% y una proyección de entrega para julio de 2026. Dicho sistema parametriza, en cada etapa del flujo de trabajo, tiempos máximos de permanencia de un trámite; cuando un trámite supera el umbral definido, el sistema genera automáticamente alertas vía correo electrónico dirigidas al trabajador asignado, al coordinador de grupo o al </w:t>
      </w:r>
      <w:r w:rsidRPr="00DC2C00">
        <w:rPr>
          <w:rFonts w:ascii="Times New Roman" w:hAnsi="Times New Roman" w:cs="Times New Roman"/>
          <w:sz w:val="24"/>
          <w:szCs w:val="24"/>
          <w:lang w:val="es-419"/>
        </w:rPr>
        <w:lastRenderedPageBreak/>
        <w:t>subdirector, en función de la criticidad de la alerta y la etapa específica en que se produce. Para MICC, la implementación de un mecanismo equivalente queda pendiente de una fase posterior, una vez consolidado el desarrollo en SICOQ.</w:t>
      </w:r>
    </w:p>
    <w:p w14:paraId="7085FECF" w14:textId="77777777" w:rsidR="00DC2C00" w:rsidRPr="00DC2C00" w:rsidRDefault="00DC2C00" w:rsidP="00DC2C00">
      <w:pPr>
        <w:spacing w:before="40" w:after="160"/>
        <w:rPr>
          <w:rFonts w:ascii="Times New Roman" w:hAnsi="Times New Roman" w:cs="Times New Roman"/>
          <w:sz w:val="24"/>
          <w:szCs w:val="24"/>
          <w:lang w:val="es-419"/>
        </w:rPr>
      </w:pPr>
      <w:r w:rsidRPr="00DC2C00">
        <w:rPr>
          <w:rFonts w:ascii="Times New Roman" w:hAnsi="Times New Roman" w:cs="Times New Roman"/>
          <w:sz w:val="24"/>
          <w:szCs w:val="24"/>
          <w:lang w:val="es-419"/>
        </w:rPr>
        <w:t>De cara a ello, la oportunidad se incorpora en la versión I de los flujogramas de los procesos de Sustancias Químicas, reconociendo el desarrollo en curso proyectado para julio de 2026. Para los procesos de Cannabis gestionados en MICC, se incorpora en la versión II como recomendación estructural</w:t>
      </w:r>
    </w:p>
    <w:p w14:paraId="6CEF2D58" w14:textId="77777777" w:rsidR="00E07753" w:rsidRPr="00DC0666" w:rsidRDefault="00E07753" w:rsidP="00E07753">
      <w:pPr>
        <w:spacing w:before="40" w:after="160"/>
        <w:rPr>
          <w:rFonts w:ascii="Times New Roman" w:hAnsi="Times New Roman" w:cs="Times New Roman"/>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0C35B849" w14:textId="77777777" w:rsidTr="00E07753">
        <w:tc>
          <w:tcPr>
            <w:tcW w:w="10080" w:type="dxa"/>
            <w:gridSpan w:val="2"/>
            <w:tcMar>
              <w:top w:w="80" w:type="dxa"/>
              <w:left w:w="120" w:type="dxa"/>
              <w:bottom w:w="80" w:type="dxa"/>
              <w:right w:w="120" w:type="dxa"/>
            </w:tcMar>
          </w:tcPr>
          <w:p w14:paraId="2EAB75FE" w14:textId="77777777" w:rsidR="00E07753" w:rsidRPr="00B722F7"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T-</w:t>
            </w:r>
            <w:proofErr w:type="gramStart"/>
            <w:r>
              <w:rPr>
                <w:rFonts w:ascii="Times New Roman" w:eastAsia="DM Mono" w:hAnsi="Times New Roman" w:cs="Times New Roman"/>
                <w:b/>
                <w:bCs/>
                <w:sz w:val="24"/>
                <w:szCs w:val="24"/>
                <w:lang w:val="es-419"/>
              </w:rPr>
              <w:t xml:space="preserve">5  </w:t>
            </w:r>
            <w:r w:rsidRPr="00B722F7">
              <w:rPr>
                <w:rFonts w:ascii="Times New Roman" w:hAnsi="Times New Roman" w:cs="Times New Roman"/>
                <w:b/>
                <w:bCs/>
                <w:sz w:val="24"/>
                <w:szCs w:val="24"/>
                <w:lang w:val="es-419"/>
              </w:rPr>
              <w:t>Notificación</w:t>
            </w:r>
            <w:proofErr w:type="gramEnd"/>
            <w:r w:rsidRPr="00B722F7">
              <w:rPr>
                <w:rFonts w:ascii="Times New Roman" w:hAnsi="Times New Roman" w:cs="Times New Roman"/>
                <w:b/>
                <w:bCs/>
                <w:sz w:val="24"/>
                <w:szCs w:val="24"/>
                <w:lang w:val="es-419"/>
              </w:rPr>
              <w:t xml:space="preserve"> automática de estado del trámite al usuario externo en transiciones clave</w:t>
            </w:r>
          </w:p>
          <w:p w14:paraId="02DA4FD8" w14:textId="1DD3C888" w:rsidR="00E07753" w:rsidRPr="00DC0666" w:rsidRDefault="00E07753" w:rsidP="00FD3896">
            <w:pPr>
              <w:spacing w:after="60"/>
              <w:jc w:val="center"/>
              <w:rPr>
                <w:rFonts w:ascii="Cambria Math" w:hAnsi="Cambria Math" w:cs="Cambria Math"/>
                <w:sz w:val="24"/>
                <w:szCs w:val="24"/>
                <w:lang w:val="es-419"/>
              </w:rPr>
            </w:pPr>
            <w:proofErr w:type="gramStart"/>
            <w:r w:rsidRPr="00B722F7">
              <w:rPr>
                <w:rFonts w:ascii="Times New Roman" w:hAnsi="Times New Roman" w:cs="Times New Roman"/>
                <w:b/>
                <w:bCs/>
                <w:sz w:val="24"/>
                <w:szCs w:val="24"/>
                <w:lang w:val="es-419"/>
              </w:rPr>
              <w:t>TRANSVERSAL  ·</w:t>
            </w:r>
            <w:proofErr w:type="gramEnd"/>
            <w:r w:rsidRPr="00B722F7">
              <w:rPr>
                <w:rFonts w:ascii="Times New Roman" w:hAnsi="Times New Roman" w:cs="Times New Roman"/>
                <w:b/>
                <w:bCs/>
                <w:sz w:val="24"/>
                <w:szCs w:val="24"/>
                <w:lang w:val="es-419"/>
              </w:rPr>
              <w:t xml:space="preserve">  Todos los procesos</w:t>
            </w:r>
            <w:r w:rsidRPr="00BD6686">
              <w:rPr>
                <w:rFonts w:ascii="Times New Roman" w:hAnsi="Times New Roman" w:cs="Times New Roman"/>
                <w:b/>
                <w:bCs/>
                <w:sz w:val="24"/>
                <w:szCs w:val="24"/>
                <w:lang w:val="es-419"/>
              </w:rPr>
              <w:t xml:space="preserve"> </w:t>
            </w:r>
          </w:p>
        </w:tc>
      </w:tr>
      <w:tr w:rsidR="00E07753" w:rsidRPr="00B722F7" w14:paraId="169E4E60" w14:textId="77777777" w:rsidTr="00E07753">
        <w:tc>
          <w:tcPr>
            <w:tcW w:w="3118" w:type="dxa"/>
            <w:tcMar>
              <w:top w:w="80" w:type="dxa"/>
              <w:left w:w="120" w:type="dxa"/>
              <w:bottom w:w="80" w:type="dxa"/>
              <w:right w:w="120" w:type="dxa"/>
            </w:tcMar>
          </w:tcPr>
          <w:p w14:paraId="03EB7F73"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7C85085A"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El último paso visible para el usuario es la radicación inicial. Todos los pasos intermedios (distribución, revisión técnica, revisión jurídica, revisión final) no generan comunicación al usuario externo.</w:t>
            </w:r>
          </w:p>
        </w:tc>
      </w:tr>
      <w:tr w:rsidR="00E07753" w:rsidRPr="00DC0666" w14:paraId="043C6C44" w14:textId="77777777" w:rsidTr="00E07753">
        <w:tc>
          <w:tcPr>
            <w:tcW w:w="3118" w:type="dxa"/>
            <w:tcMar>
              <w:top w:w="80" w:type="dxa"/>
              <w:left w:w="120" w:type="dxa"/>
              <w:bottom w:w="80" w:type="dxa"/>
              <w:right w:w="120" w:type="dxa"/>
            </w:tcMar>
          </w:tcPr>
          <w:p w14:paraId="52317830"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4EDCB5EF"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sz w:val="24"/>
                <w:szCs w:val="24"/>
                <w:lang w:val="es-419"/>
              </w:rPr>
              <w:t xml:space="preserve">La ausencia de visibilidad del estado genera un flujo continuo de PQRS de seguimiento que consume capacidad interna (P63, P64). Los licenciatarios reportan durante visitas técnicas que el MICC no es intuitivo y que desconocen el estado de su solicitud. </w:t>
            </w:r>
            <w:proofErr w:type="spellStart"/>
            <w:r>
              <w:rPr>
                <w:rFonts w:ascii="Times New Roman" w:hAnsi="Times New Roman" w:cs="Times New Roman"/>
                <w:sz w:val="24"/>
                <w:szCs w:val="24"/>
              </w:rPr>
              <w:t>Múltiples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respondentes</w:t>
            </w:r>
            <w:proofErr w:type="spellEnd"/>
            <w:r>
              <w:rPr>
                <w:rFonts w:ascii="Times New Roman" w:hAnsi="Times New Roman" w:cs="Times New Roman"/>
                <w:sz w:val="24"/>
                <w:szCs w:val="24"/>
              </w:rPr>
              <w:t xml:space="preserve"> lo </w:t>
            </w:r>
            <w:proofErr w:type="spellStart"/>
            <w:r>
              <w:rPr>
                <w:rFonts w:ascii="Times New Roman" w:hAnsi="Times New Roman" w:cs="Times New Roman"/>
                <w:sz w:val="24"/>
                <w:szCs w:val="24"/>
              </w:rPr>
              <w:t>mencionan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espontáneamente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en</w:t>
            </w:r>
            <w:proofErr w:type="spellEnd"/>
            <w:r>
              <w:rPr>
                <w:rFonts w:ascii="Times New Roman" w:hAnsi="Times New Roman" w:cs="Times New Roman"/>
                <w:sz w:val="24"/>
                <w:szCs w:val="24"/>
              </w:rPr>
              <w:t xml:space="preserve"> P65.</w:t>
            </w:r>
          </w:p>
        </w:tc>
      </w:tr>
      <w:tr w:rsidR="00E07753" w:rsidRPr="00DC0666" w14:paraId="431A90B7" w14:textId="77777777" w:rsidTr="00E07753">
        <w:tc>
          <w:tcPr>
            <w:tcW w:w="3118" w:type="dxa"/>
            <w:tcMar>
              <w:top w:w="80" w:type="dxa"/>
              <w:left w:w="120" w:type="dxa"/>
              <w:bottom w:w="80" w:type="dxa"/>
              <w:right w:w="120" w:type="dxa"/>
            </w:tcMar>
          </w:tcPr>
          <w:p w14:paraId="1D122966"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5CCAE679"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Añadir notificaciones automáticas al usuario en 3 puntos de cada flujo: (1) confirmación de radicación, (2) emisión de requerimiento, (3) entrada a revisión final / firma, con tiempo estimado de respuesta.</w:t>
            </w:r>
          </w:p>
          <w:p w14:paraId="6EF8A78A"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Incluir en el flujograma un eje paralelo de "Comunicación al usuario" con sus propios pasos de notificación automática.</w:t>
            </w:r>
          </w:p>
          <w:p w14:paraId="54405570"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En MICC/SICOQ: activar indicador de estado del trámite con descripción en lenguaje no técnico (ej. "En revisión técnica: tiempo estimado: 10 días hábiles").</w:t>
            </w:r>
          </w:p>
        </w:tc>
      </w:tr>
      <w:tr w:rsidR="00E07753" w:rsidRPr="00B722F7" w14:paraId="5D2F68FF" w14:textId="77777777" w:rsidTr="00E07753">
        <w:tc>
          <w:tcPr>
            <w:tcW w:w="3118" w:type="dxa"/>
            <w:tcMar>
              <w:top w:w="80" w:type="dxa"/>
              <w:left w:w="120" w:type="dxa"/>
              <w:bottom w:w="80" w:type="dxa"/>
              <w:right w:w="120" w:type="dxa"/>
            </w:tcMar>
          </w:tcPr>
          <w:p w14:paraId="6D2E8CF3"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2DE249A1"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Reducción directa del volumen de PQRS de seguimiento, liberando capacidad del equipo técnico-administrativo sin modificar los tiempos sustantivos del proceso.</w:t>
            </w:r>
          </w:p>
        </w:tc>
      </w:tr>
    </w:tbl>
    <w:p w14:paraId="7D2EA24F" w14:textId="7ADD8D9D" w:rsidR="00B722F7" w:rsidRPr="00B722F7" w:rsidRDefault="00B722F7" w:rsidP="00B722F7">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B722F7">
        <w:rPr>
          <w:rFonts w:ascii="Times New Roman" w:hAnsi="Times New Roman" w:cs="Times New Roman"/>
          <w:sz w:val="24"/>
          <w:szCs w:val="24"/>
          <w:lang w:val="es-419"/>
        </w:rPr>
        <w:t>día martes</w:t>
      </w:r>
      <w:proofErr w:type="gramEnd"/>
      <w:r w:rsidRPr="00B722F7">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confirmó que no existe al momento un desarrollo en curso al respecto. No obstante, el líder del equipo de Sistemas estimó que la implementación de notificaciones automáticas al usuario externo en hitos clave del flujo podría llevarse a cabo en un plazo aproximado de un mes de desarrollo. Dada la mayor viabilidad técnica de corto plazo de esta oportunidad frente a otras identificadas, se propone someter su priorización a consideración de los líderes de grupo y del equipo de Sistemas para evaluar su incorporación como compromiso para el año siguiente.</w:t>
      </w:r>
    </w:p>
    <w:p w14:paraId="7EDBF1B9" w14:textId="1619E7C7" w:rsidR="00E07753" w:rsidRPr="00DC0666" w:rsidRDefault="00B722F7" w:rsidP="00E07753">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lastRenderedPageBreak/>
        <w:t>De cara a ello, la oportunidad se incorpora en la versión II de los flujogramas de los procesos de la subdirección como recomendación transversal para MICC y SICOQ. Su eventual incorporación en la versión I quedará sujeta al resultado de la concertación con los líderes de grupo y el equipo de Sistemas en torno a la priorización de desarrollos para el corto plazo.</w:t>
      </w:r>
    </w:p>
    <w:p w14:paraId="56D54669" w14:textId="77777777" w:rsidR="00E07753" w:rsidRPr="00DC0666" w:rsidRDefault="00E07753" w:rsidP="00E07753">
      <w:pPr>
        <w:rPr>
          <w:rFonts w:ascii="Times New Roman" w:hAnsi="Times New Roman" w:cs="Times New Roman"/>
          <w:b/>
          <w:bCs/>
          <w:sz w:val="24"/>
          <w:szCs w:val="24"/>
          <w:lang w:val="es-419"/>
        </w:rPr>
      </w:pPr>
      <w:r>
        <w:rPr>
          <w:rFonts w:ascii="Times New Roman" w:hAnsi="Times New Roman" w:cs="Times New Roman"/>
          <w:b/>
          <w:bCs/>
          <w:sz w:val="24"/>
          <w:szCs w:val="24"/>
          <w:lang w:val="es-419"/>
        </w:rPr>
        <w:t>2. Cannabis — Oportunidades Específicas</w:t>
      </w:r>
    </w:p>
    <w:p w14:paraId="4EFAFBE4" w14:textId="77777777" w:rsidR="00E07753" w:rsidRPr="00DC0666" w:rsidRDefault="00E07753" w:rsidP="00E07753">
      <w:pPr>
        <w:rPr>
          <w:rFonts w:ascii="Times New Roman" w:hAnsi="Times New Roman" w:cs="Times New Roman"/>
          <w:b/>
          <w:bCs/>
          <w:sz w:val="24"/>
          <w:szCs w:val="24"/>
          <w:lang w:val="es-419"/>
        </w:rPr>
      </w:pPr>
    </w:p>
    <w:p w14:paraId="0D9E3A30" w14:textId="77777777" w:rsidR="00E07753" w:rsidRPr="00DC0666" w:rsidRDefault="00E07753" w:rsidP="00E07753">
      <w:pPr>
        <w:spacing w:after="160"/>
        <w:rPr>
          <w:rFonts w:ascii="Times New Roman" w:hAnsi="Times New Roman" w:cs="Times New Roman"/>
          <w:sz w:val="24"/>
          <w:szCs w:val="24"/>
          <w:lang w:val="es-419"/>
        </w:rPr>
      </w:pPr>
      <w:r>
        <w:rPr>
          <w:rFonts w:ascii="Times New Roman" w:hAnsi="Times New Roman" w:cs="Times New Roman"/>
          <w:i/>
          <w:iCs/>
          <w:sz w:val="24"/>
          <w:szCs w:val="24"/>
          <w:lang w:val="es-419"/>
        </w:rPr>
        <w:t>PCR-11 (Licencias) · PCR-12 (Cupos) · PCR-18 (Cobro) · PCR-22 (Seguimiento) · PCR-23 (Comercio Exterior) · PCR-24 (Sancionatorio) · PCR-27 (Acuerdo de Pago)</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30B359A0" w14:textId="77777777" w:rsidTr="00E07753">
        <w:tc>
          <w:tcPr>
            <w:tcW w:w="10080" w:type="dxa"/>
            <w:gridSpan w:val="2"/>
            <w:tcMar>
              <w:top w:w="80" w:type="dxa"/>
              <w:left w:w="120" w:type="dxa"/>
              <w:bottom w:w="80" w:type="dxa"/>
              <w:right w:w="120" w:type="dxa"/>
            </w:tcMar>
          </w:tcPr>
          <w:p w14:paraId="0A2B0D8C" w14:textId="13776DF7" w:rsidR="00E07753" w:rsidRPr="00DC0666" w:rsidRDefault="00E07753" w:rsidP="00FD3896">
            <w:pPr>
              <w:spacing w:after="60"/>
              <w:jc w:val="center"/>
              <w:rPr>
                <w:rFonts w:ascii="Cambria Math" w:hAnsi="Cambria Math" w:cs="Cambria Math"/>
                <w:b/>
                <w:bCs/>
                <w:sz w:val="24"/>
                <w:szCs w:val="24"/>
                <w:lang w:val="es-419"/>
              </w:rPr>
            </w:pPr>
            <w:r>
              <w:rPr>
                <w:rFonts w:ascii="Times New Roman" w:hAnsi="Times New Roman" w:cs="Times New Roman"/>
                <w:b/>
                <w:bCs/>
                <w:sz w:val="24"/>
                <w:szCs w:val="24"/>
                <w:lang w:val="es-419"/>
              </w:rPr>
              <w:t xml:space="preserve">C-1 Automatizar verificación de inventarios en MICC </w:t>
            </w:r>
            <w:proofErr w:type="gramStart"/>
            <w:r>
              <w:rPr>
                <w:rFonts w:ascii="Times New Roman" w:hAnsi="Times New Roman" w:cs="Times New Roman"/>
                <w:b/>
                <w:bCs/>
                <w:sz w:val="24"/>
                <w:szCs w:val="24"/>
                <w:lang w:val="es-419"/>
              </w:rPr>
              <w:t>CANNABIS  ·</w:t>
            </w:r>
            <w:proofErr w:type="gramEnd"/>
            <w:r>
              <w:rPr>
                <w:rFonts w:ascii="Times New Roman" w:hAnsi="Times New Roman" w:cs="Times New Roman"/>
                <w:b/>
                <w:bCs/>
                <w:sz w:val="24"/>
                <w:szCs w:val="24"/>
                <w:lang w:val="es-419"/>
              </w:rPr>
              <w:t xml:space="preserve">  PCR-12, PCR-11 </w:t>
            </w:r>
          </w:p>
        </w:tc>
      </w:tr>
      <w:tr w:rsidR="00E07753" w:rsidRPr="00B722F7" w14:paraId="7A2B1132" w14:textId="77777777" w:rsidTr="00E07753">
        <w:tc>
          <w:tcPr>
            <w:tcW w:w="3118" w:type="dxa"/>
            <w:tcMar>
              <w:top w:w="80" w:type="dxa"/>
              <w:left w:w="120" w:type="dxa"/>
              <w:bottom w:w="80" w:type="dxa"/>
              <w:right w:w="120" w:type="dxa"/>
            </w:tcMar>
          </w:tcPr>
          <w:p w14:paraId="6B821794"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78CF7B67"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PCR-12 · Fase 2: "Analizar técnicamente la solicitud de cupos" incluye verificación manual de coherencia de inventarios en MICC como parte integral del análisis.</w:t>
            </w:r>
          </w:p>
          <w:p w14:paraId="4ABE1B53"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PCR-11 · Fase 1: "Recepción y verificación inicial</w:t>
            </w:r>
            <w:proofErr w:type="gramStart"/>
            <w:r>
              <w:rPr>
                <w:rFonts w:ascii="Times New Roman" w:hAnsi="Times New Roman" w:cs="Times New Roman"/>
                <w:sz w:val="24"/>
                <w:szCs w:val="24"/>
                <w:lang w:val="es-419"/>
              </w:rPr>
              <w:t>"  la</w:t>
            </w:r>
            <w:proofErr w:type="gramEnd"/>
            <w:r>
              <w:rPr>
                <w:rFonts w:ascii="Times New Roman" w:hAnsi="Times New Roman" w:cs="Times New Roman"/>
                <w:sz w:val="24"/>
                <w:szCs w:val="24"/>
                <w:lang w:val="es-419"/>
              </w:rPr>
              <w:t xml:space="preserve"> verificación de existencias y cupos en MICC es manual desde el inicio.</w:t>
            </w:r>
          </w:p>
        </w:tc>
      </w:tr>
      <w:tr w:rsidR="00E07753" w:rsidRPr="00B722F7" w14:paraId="0EEA5338" w14:textId="77777777" w:rsidTr="00E07753">
        <w:tc>
          <w:tcPr>
            <w:tcW w:w="3118" w:type="dxa"/>
            <w:tcMar>
              <w:top w:w="80" w:type="dxa"/>
              <w:left w:w="120" w:type="dxa"/>
              <w:bottom w:w="80" w:type="dxa"/>
              <w:right w:w="120" w:type="dxa"/>
            </w:tcMar>
          </w:tcPr>
          <w:p w14:paraId="613FA765"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6205ADD3"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La verificación manual puede consumir hasta una semana de trabajo completa para licencias de gran escala. MICC genera inconsistencias entre registros de movimientos y saldos calculados, obligando a </w:t>
            </w:r>
            <w:proofErr w:type="spellStart"/>
            <w:r>
              <w:rPr>
                <w:rFonts w:ascii="Times New Roman" w:hAnsi="Times New Roman" w:cs="Times New Roman"/>
                <w:sz w:val="24"/>
                <w:szCs w:val="24"/>
                <w:lang w:val="es-419"/>
              </w:rPr>
              <w:t>re-verificaciones</w:t>
            </w:r>
            <w:proofErr w:type="spellEnd"/>
            <w:r>
              <w:rPr>
                <w:rFonts w:ascii="Times New Roman" w:hAnsi="Times New Roman" w:cs="Times New Roman"/>
                <w:sz w:val="24"/>
                <w:szCs w:val="24"/>
                <w:lang w:val="es-419"/>
              </w:rPr>
              <w:t xml:space="preserve"> repetidas (P21, P22).</w:t>
            </w:r>
          </w:p>
        </w:tc>
      </w:tr>
      <w:tr w:rsidR="00E07753" w:rsidRPr="00B722F7" w14:paraId="22F5F181" w14:textId="77777777" w:rsidTr="00E07753">
        <w:tc>
          <w:tcPr>
            <w:tcW w:w="3118" w:type="dxa"/>
            <w:tcMar>
              <w:top w:w="80" w:type="dxa"/>
              <w:left w:w="120" w:type="dxa"/>
              <w:bottom w:w="80" w:type="dxa"/>
              <w:right w:w="120" w:type="dxa"/>
            </w:tcMar>
          </w:tcPr>
          <w:p w14:paraId="4E873D78"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354E124A" w14:textId="77777777" w:rsidR="00E07753" w:rsidRPr="00631CC7"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 xml:space="preserve">Separar el paso actual en dos: (A) </w:t>
            </w:r>
            <w:proofErr w:type="spellStart"/>
            <w:r>
              <w:rPr>
                <w:rFonts w:ascii="Times New Roman" w:hAnsi="Times New Roman" w:cs="Times New Roman"/>
                <w:sz w:val="24"/>
                <w:szCs w:val="24"/>
                <w:lang w:val="es-419"/>
              </w:rPr>
              <w:t>Pre-verificación</w:t>
            </w:r>
            <w:proofErr w:type="spellEnd"/>
            <w:r>
              <w:rPr>
                <w:rFonts w:ascii="Times New Roman" w:hAnsi="Times New Roman" w:cs="Times New Roman"/>
                <w:sz w:val="24"/>
                <w:szCs w:val="24"/>
                <w:lang w:val="es-419"/>
              </w:rPr>
              <w:t xml:space="preserve"> automática de inventarios MICC (ejecutada por el sistema al distribuir), y (B) Análisis técnico sustantivo (el técnico recibe el reporte de consistencia ya generado).</w:t>
            </w:r>
          </w:p>
          <w:p w14:paraId="0F2077BA" w14:textId="77777777" w:rsidR="00E07753" w:rsidRPr="00631CC7"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Añadir en el flujo, entre distribución del centralizador y análisis técnico, el paso nuevo: "MICC genera reporte de coherencia de inventarios y cupos disponibles".</w:t>
            </w:r>
          </w:p>
          <w:p w14:paraId="6B9DE20D"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Medida transitoria</w:t>
            </w:r>
            <w:r>
              <w:rPr>
                <w:rFonts w:ascii="Times New Roman" w:hAnsi="Times New Roman" w:cs="Times New Roman"/>
                <w:b/>
                <w:bCs/>
                <w:sz w:val="24"/>
                <w:szCs w:val="24"/>
                <w:lang w:val="es-419"/>
              </w:rPr>
              <w:t>:</w:t>
            </w:r>
            <w:r>
              <w:rPr>
                <w:rFonts w:ascii="Times New Roman" w:hAnsi="Times New Roman" w:cs="Times New Roman"/>
                <w:sz w:val="24"/>
                <w:szCs w:val="24"/>
                <w:lang w:val="es-419"/>
              </w:rPr>
              <w:t xml:space="preserve"> estandarizar una macro Excel corporativa con pasos auditables, vinculada al número de solicitud, hasta que la corrección sistémica esté disponible.</w:t>
            </w:r>
          </w:p>
        </w:tc>
      </w:tr>
      <w:tr w:rsidR="00E07753" w:rsidRPr="00B722F7" w14:paraId="399763E8" w14:textId="77777777" w:rsidTr="00E07753">
        <w:tc>
          <w:tcPr>
            <w:tcW w:w="3118" w:type="dxa"/>
            <w:tcMar>
              <w:top w:w="80" w:type="dxa"/>
              <w:left w:w="120" w:type="dxa"/>
              <w:bottom w:w="80" w:type="dxa"/>
              <w:right w:w="120" w:type="dxa"/>
            </w:tcMar>
          </w:tcPr>
          <w:p w14:paraId="503EA12D"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0DBA27D9"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La corrección de inventarios en MICC podría recuperar hasta la mitad de tiempo por trámite en revisión técnica.</w:t>
            </w:r>
          </w:p>
        </w:tc>
      </w:tr>
    </w:tbl>
    <w:p w14:paraId="22AA411B" w14:textId="452765C1" w:rsidR="00B722F7" w:rsidRPr="00B722F7" w:rsidRDefault="00B722F7" w:rsidP="00B722F7">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r w:rsidRPr="00B722F7">
        <w:rPr>
          <w:rFonts w:ascii="Times New Roman" w:hAnsi="Times New Roman" w:cs="Times New Roman"/>
          <w:sz w:val="24"/>
          <w:szCs w:val="24"/>
          <w:lang w:val="es-419"/>
        </w:rPr>
        <w:t>martes</w:t>
      </w:r>
      <w:r w:rsidRPr="00B722F7">
        <w:rPr>
          <w:rFonts w:ascii="Times New Roman" w:hAnsi="Times New Roman" w:cs="Times New Roman"/>
          <w:sz w:val="24"/>
          <w:szCs w:val="24"/>
          <w:lang w:val="es-419"/>
        </w:rPr>
        <w:t xml:space="preserve"> 19 de mayo se definió la aceptación de esta propuesta como oportunidad prioritaria de mejora de los procesos asociados a la subdirección. Tras reunión sostenida el día 22 de mayo con el líder del equipo de Sistemas, se confirmó que no existe un desarrollo previo al respecto en MICC. El líder del equipo de Sistemas estimó que el desarrollo de un sistema de </w:t>
      </w:r>
      <w:proofErr w:type="spellStart"/>
      <w:r w:rsidRPr="00B722F7">
        <w:rPr>
          <w:rFonts w:ascii="Times New Roman" w:hAnsi="Times New Roman" w:cs="Times New Roman"/>
          <w:sz w:val="24"/>
          <w:szCs w:val="24"/>
          <w:lang w:val="es-419"/>
        </w:rPr>
        <w:t>pre-verificación</w:t>
      </w:r>
      <w:proofErr w:type="spellEnd"/>
      <w:r w:rsidRPr="00B722F7">
        <w:rPr>
          <w:rFonts w:ascii="Times New Roman" w:hAnsi="Times New Roman" w:cs="Times New Roman"/>
          <w:sz w:val="24"/>
          <w:szCs w:val="24"/>
          <w:lang w:val="es-419"/>
        </w:rPr>
        <w:t xml:space="preserve"> automática de inventarios —abarcando el levantamiento de información, la construcción del reporte y las pruebas con el equipo técnico— tomaría entre tres y cuatro meses con dedicación prioritaria. Dada su identificación como oportunidad prioritaria en la reunión de concertación, su viabilidad de ejecución será validada con los líderes de grupo, con miras a su incorporación como compromiso de corto plazo para el año siguiente.</w:t>
      </w:r>
    </w:p>
    <w:p w14:paraId="7FE09E55" w14:textId="022BA0BA" w:rsidR="00E07753" w:rsidRPr="00DC0666" w:rsidRDefault="00B722F7" w:rsidP="00E07753">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lastRenderedPageBreak/>
        <w:t>De cara a ello, la oportunidad se incorpora en la versión II de los flujogramas como recomendación estructural para los procesos PCR-11 y PCR-12. Su incorporación en la versión I quedará sujeta al resultado de la validación con los líderes de grupo en torno a la priorización y disponibilidad del equipo de Sistemas para asumir su desarrollo en el corto plazo.</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3C4AC604" w14:textId="77777777" w:rsidTr="00E07753">
        <w:tc>
          <w:tcPr>
            <w:tcW w:w="10080" w:type="dxa"/>
            <w:gridSpan w:val="2"/>
            <w:tcMar>
              <w:top w:w="80" w:type="dxa"/>
              <w:left w:w="120" w:type="dxa"/>
              <w:bottom w:w="80" w:type="dxa"/>
              <w:right w:w="120" w:type="dxa"/>
            </w:tcMar>
          </w:tcPr>
          <w:p w14:paraId="67272806" w14:textId="77777777" w:rsidR="00E07753" w:rsidRPr="00DC0666"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C-</w:t>
            </w:r>
            <w:proofErr w:type="gramStart"/>
            <w:r>
              <w:rPr>
                <w:rFonts w:ascii="Times New Roman" w:eastAsia="DM Mono" w:hAnsi="Times New Roman" w:cs="Times New Roman"/>
                <w:b/>
                <w:bCs/>
                <w:sz w:val="24"/>
                <w:szCs w:val="24"/>
                <w:lang w:val="es-419"/>
              </w:rPr>
              <w:t xml:space="preserve">3  </w:t>
            </w:r>
            <w:r>
              <w:rPr>
                <w:rFonts w:ascii="Times New Roman" w:hAnsi="Times New Roman" w:cs="Times New Roman"/>
                <w:b/>
                <w:bCs/>
                <w:sz w:val="24"/>
                <w:szCs w:val="24"/>
                <w:lang w:val="es-419"/>
              </w:rPr>
              <w:t>Integrar</w:t>
            </w:r>
            <w:proofErr w:type="gramEnd"/>
            <w:r>
              <w:rPr>
                <w:rFonts w:ascii="Times New Roman" w:hAnsi="Times New Roman" w:cs="Times New Roman"/>
                <w:b/>
                <w:bCs/>
                <w:sz w:val="24"/>
                <w:szCs w:val="24"/>
                <w:lang w:val="es-419"/>
              </w:rPr>
              <w:t xml:space="preserve"> la verificación financiera (paz y salvo) como validación automática en MICC al radicar</w:t>
            </w:r>
          </w:p>
          <w:p w14:paraId="643765D7" w14:textId="67DF4B6B" w:rsidR="001956F7" w:rsidRPr="00B722F7" w:rsidRDefault="00E07753" w:rsidP="00B722F7">
            <w:pPr>
              <w:spacing w:after="60"/>
              <w:jc w:val="center"/>
              <w:rPr>
                <w:rFonts w:ascii="Times New Roman" w:hAnsi="Times New Roman" w:cs="Times New Roman"/>
                <w:b/>
                <w:bCs/>
                <w:sz w:val="24"/>
                <w:szCs w:val="24"/>
                <w:lang w:val="es-419"/>
              </w:rPr>
            </w:pPr>
            <w:proofErr w:type="gramStart"/>
            <w:r w:rsidRPr="00B722F7">
              <w:rPr>
                <w:rFonts w:ascii="Times New Roman" w:hAnsi="Times New Roman" w:cs="Times New Roman"/>
                <w:b/>
                <w:bCs/>
                <w:sz w:val="24"/>
                <w:szCs w:val="24"/>
                <w:lang w:val="es-419"/>
              </w:rPr>
              <w:t>CANNABIS  ·</w:t>
            </w:r>
            <w:proofErr w:type="gramEnd"/>
            <w:r w:rsidRPr="00B722F7">
              <w:rPr>
                <w:rFonts w:ascii="Times New Roman" w:hAnsi="Times New Roman" w:cs="Times New Roman"/>
                <w:b/>
                <w:bCs/>
                <w:sz w:val="24"/>
                <w:szCs w:val="24"/>
                <w:lang w:val="es-419"/>
              </w:rPr>
              <w:t xml:space="preserve">  PCR-12, PCR-22 </w:t>
            </w:r>
          </w:p>
        </w:tc>
      </w:tr>
      <w:tr w:rsidR="00E07753" w:rsidRPr="00B722F7" w14:paraId="04CF5267" w14:textId="77777777" w:rsidTr="00E07753">
        <w:tc>
          <w:tcPr>
            <w:tcW w:w="3118" w:type="dxa"/>
            <w:tcMar>
              <w:top w:w="80" w:type="dxa"/>
              <w:left w:w="120" w:type="dxa"/>
              <w:bottom w:w="80" w:type="dxa"/>
              <w:right w:w="120" w:type="dxa"/>
            </w:tcMar>
          </w:tcPr>
          <w:p w14:paraId="1B9B6A49"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34493C66"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PCR-12 · Fase 1: "Verificar que el licenciatario está al día en sus obligaciones financieras" paso manual en MICC ejecutado por el financiero después de que el centralizador ya distribuyó.</w:t>
            </w:r>
          </w:p>
          <w:p w14:paraId="789EF2A3"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PCR-22 · Fase 7.1: "Verificar el estado de pago de tasas y obligaciones financieras" también manual y posterior a la distribución.</w:t>
            </w:r>
          </w:p>
        </w:tc>
      </w:tr>
      <w:tr w:rsidR="00E07753" w:rsidRPr="00B722F7" w14:paraId="1EBD8B1B" w14:textId="77777777" w:rsidTr="00E07753">
        <w:tc>
          <w:tcPr>
            <w:tcW w:w="3118" w:type="dxa"/>
            <w:tcMar>
              <w:top w:w="80" w:type="dxa"/>
              <w:left w:w="120" w:type="dxa"/>
              <w:bottom w:w="80" w:type="dxa"/>
              <w:right w:w="120" w:type="dxa"/>
            </w:tcMar>
          </w:tcPr>
          <w:p w14:paraId="2098DE36"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23917837"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Eficiencia de MICC para cartera: media 4.60/10, mediana 3/10 — el indicador cuantitativo más negativo del instrumento (P36). La conciliación bancaria es manual, el seguimiento de acuerdos se hace en Excel externo, y MICC no valida si el pago fue efectivamente procesado por el banco (P38, P44). Más del 70% del equipo usa herramientas externas para seguimiento financiero (P69).</w:t>
            </w:r>
          </w:p>
        </w:tc>
      </w:tr>
      <w:tr w:rsidR="00E07753" w:rsidRPr="00B722F7" w14:paraId="5F15E243" w14:textId="77777777" w:rsidTr="00E07753">
        <w:tc>
          <w:tcPr>
            <w:tcW w:w="3118" w:type="dxa"/>
            <w:tcMar>
              <w:top w:w="80" w:type="dxa"/>
              <w:left w:w="120" w:type="dxa"/>
              <w:bottom w:w="80" w:type="dxa"/>
              <w:right w:w="120" w:type="dxa"/>
            </w:tcMar>
          </w:tcPr>
          <w:p w14:paraId="688E5C54"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3878F455"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Añadir en el flujo, antes de la distribución por el centralizador, una validación automática de MICC: "¿El licenciatario tiene paz y salvo financiero?" </w:t>
            </w:r>
            <w:r>
              <w:rPr>
                <w:rFonts w:ascii="Times New Roman" w:hAnsi="Times New Roman" w:cs="Times New Roman"/>
                <w:sz w:val="24"/>
                <w:szCs w:val="24"/>
              </w:rPr>
              <w:t xml:space="preserve">→ NO: </w:t>
            </w:r>
            <w:proofErr w:type="spellStart"/>
            <w:r>
              <w:rPr>
                <w:rFonts w:ascii="Times New Roman" w:hAnsi="Times New Roman" w:cs="Times New Roman"/>
                <w:sz w:val="24"/>
                <w:szCs w:val="24"/>
              </w:rPr>
              <w:t>devuelve</w:t>
            </w:r>
            <w:proofErr w:type="spellEnd"/>
            <w:r>
              <w:rPr>
                <w:rFonts w:ascii="Times New Roman" w:hAnsi="Times New Roman" w:cs="Times New Roman"/>
                <w:sz w:val="24"/>
                <w:szCs w:val="24"/>
              </w:rPr>
              <w:t xml:space="preserve"> al </w:t>
            </w:r>
            <w:proofErr w:type="spellStart"/>
            <w:r>
              <w:rPr>
                <w:rFonts w:ascii="Times New Roman" w:hAnsi="Times New Roman" w:cs="Times New Roman"/>
                <w:sz w:val="24"/>
                <w:szCs w:val="24"/>
              </w:rPr>
              <w:t>usuario</w:t>
            </w:r>
            <w:proofErr w:type="spellEnd"/>
            <w:r>
              <w:rPr>
                <w:rFonts w:ascii="Times New Roman" w:hAnsi="Times New Roman" w:cs="Times New Roman"/>
                <w:sz w:val="24"/>
                <w:szCs w:val="24"/>
              </w:rPr>
              <w:t xml:space="preserve"> con </w:t>
            </w:r>
            <w:proofErr w:type="spellStart"/>
            <w:r>
              <w:rPr>
                <w:rFonts w:ascii="Times New Roman" w:hAnsi="Times New Roman" w:cs="Times New Roman"/>
                <w:sz w:val="24"/>
                <w:szCs w:val="24"/>
              </w:rPr>
              <w:t>notificación</w:t>
            </w:r>
            <w:proofErr w:type="spellEnd"/>
            <w:r>
              <w:rPr>
                <w:rFonts w:ascii="Times New Roman" w:hAnsi="Times New Roman" w:cs="Times New Roman"/>
                <w:sz w:val="24"/>
                <w:szCs w:val="24"/>
              </w:rPr>
              <w:t xml:space="preserve"> / SÍ: </w:t>
            </w:r>
            <w:proofErr w:type="spellStart"/>
            <w:r>
              <w:rPr>
                <w:rFonts w:ascii="Times New Roman" w:hAnsi="Times New Roman" w:cs="Times New Roman"/>
                <w:sz w:val="24"/>
                <w:szCs w:val="24"/>
              </w:rPr>
              <w:t>distribuye</w:t>
            </w:r>
            <w:proofErr w:type="spellEnd"/>
            <w:r>
              <w:rPr>
                <w:rFonts w:ascii="Times New Roman" w:hAnsi="Times New Roman" w:cs="Times New Roman"/>
                <w:sz w:val="24"/>
                <w:szCs w:val="24"/>
              </w:rPr>
              <w:t>.</w:t>
            </w:r>
          </w:p>
          <w:p w14:paraId="13423759"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Eliminar la verificación financiera manual como paso separado del financiero: la distribución solo ocurre si MICC confirma el estado. </w:t>
            </w:r>
            <w:r>
              <w:rPr>
                <w:rFonts w:ascii="Times New Roman" w:hAnsi="Times New Roman" w:cs="Times New Roman"/>
                <w:sz w:val="24"/>
                <w:szCs w:val="24"/>
              </w:rPr>
              <w:t xml:space="preserve">El </w:t>
            </w:r>
            <w:proofErr w:type="spellStart"/>
            <w:r>
              <w:rPr>
                <w:rFonts w:ascii="Times New Roman" w:hAnsi="Times New Roman" w:cs="Times New Roman"/>
                <w:sz w:val="24"/>
                <w:szCs w:val="24"/>
              </w:rPr>
              <w:t>financiero</w:t>
            </w:r>
            <w:proofErr w:type="spellEnd"/>
            <w:r>
              <w:rPr>
                <w:rFonts w:ascii="Times New Roman" w:hAnsi="Times New Roman" w:cs="Times New Roman"/>
                <w:sz w:val="24"/>
                <w:szCs w:val="24"/>
              </w:rPr>
              <w:t xml:space="preserve"> se libera para </w:t>
            </w:r>
            <w:proofErr w:type="spellStart"/>
            <w:r>
              <w:rPr>
                <w:rFonts w:ascii="Times New Roman" w:hAnsi="Times New Roman" w:cs="Times New Roman"/>
                <w:sz w:val="24"/>
                <w:szCs w:val="24"/>
              </w:rPr>
              <w:t>gestión</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cartera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compleja</w:t>
            </w:r>
            <w:proofErr w:type="spellEnd"/>
            <w:r>
              <w:rPr>
                <w:rFonts w:ascii="Times New Roman" w:hAnsi="Times New Roman" w:cs="Times New Roman"/>
                <w:sz w:val="24"/>
                <w:szCs w:val="24"/>
              </w:rPr>
              <w:t>.</w:t>
            </w:r>
          </w:p>
          <w:p w14:paraId="6E521C55"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Complementar con la integración del módulo de liquidación y acuerdos de facilidad de pago dentro de MICC (ver C-4).</w:t>
            </w:r>
          </w:p>
        </w:tc>
      </w:tr>
      <w:tr w:rsidR="00E07753" w:rsidRPr="00B722F7" w14:paraId="3BE1AE8F" w14:textId="77777777" w:rsidTr="00E07753">
        <w:tc>
          <w:tcPr>
            <w:tcW w:w="3118" w:type="dxa"/>
            <w:tcMar>
              <w:top w:w="80" w:type="dxa"/>
              <w:left w:w="120" w:type="dxa"/>
              <w:bottom w:w="80" w:type="dxa"/>
              <w:right w:w="120" w:type="dxa"/>
            </w:tcMar>
          </w:tcPr>
          <w:p w14:paraId="65960811"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47C06B50"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Elimina un paso de revisión manual por trámite. Libera tiempo del financiero. Reduce errores de duplicidad de pago documentados (P44) al integrar la validación bancaria en el flujo de radicación.</w:t>
            </w:r>
          </w:p>
        </w:tc>
      </w:tr>
    </w:tbl>
    <w:p w14:paraId="4E77922F" w14:textId="77777777" w:rsidR="00B722F7" w:rsidRPr="00B722F7" w:rsidRDefault="00B722F7" w:rsidP="00B722F7">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B722F7">
        <w:rPr>
          <w:rFonts w:ascii="Times New Roman" w:hAnsi="Times New Roman" w:cs="Times New Roman"/>
          <w:sz w:val="24"/>
          <w:szCs w:val="24"/>
          <w:lang w:val="es-419"/>
        </w:rPr>
        <w:t>día martes</w:t>
      </w:r>
      <w:proofErr w:type="gramEnd"/>
      <w:r w:rsidRPr="00B722F7">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confirmó que el equipo de Sistemas se encuentra adelantando la integración de MICC con la entidad bancaria, de modo que cuando el usuario realice el pago mediante recibo o PSE, el banco notifique directamente a MICC el registro del pago, asociado al número de solicitud. Este desarrollo está en curso y proyectado para finalizar dentro del año 2026. En el estado actual, el pago por PSE existe como funcionalidad en </w:t>
      </w:r>
      <w:proofErr w:type="gramStart"/>
      <w:r w:rsidRPr="00B722F7">
        <w:rPr>
          <w:rFonts w:ascii="Times New Roman" w:hAnsi="Times New Roman" w:cs="Times New Roman"/>
          <w:sz w:val="24"/>
          <w:szCs w:val="24"/>
          <w:lang w:val="es-419"/>
        </w:rPr>
        <w:t>MICC</w:t>
      </w:r>
      <w:proofErr w:type="gramEnd"/>
      <w:r w:rsidRPr="00B722F7">
        <w:rPr>
          <w:rFonts w:ascii="Times New Roman" w:hAnsi="Times New Roman" w:cs="Times New Roman"/>
          <w:sz w:val="24"/>
          <w:szCs w:val="24"/>
          <w:lang w:val="es-419"/>
        </w:rPr>
        <w:t xml:space="preserve"> pero no genera una validación restrictiva sobre el ingreso del trámite al </w:t>
      </w:r>
      <w:r w:rsidRPr="00B722F7">
        <w:rPr>
          <w:rFonts w:ascii="Times New Roman" w:hAnsi="Times New Roman" w:cs="Times New Roman"/>
          <w:sz w:val="24"/>
          <w:szCs w:val="24"/>
          <w:lang w:val="es-419"/>
        </w:rPr>
        <w:lastRenderedPageBreak/>
        <w:t>flujo, ni retroalimenta de manera automática al equipo financiero. Una vez consolidado el desarrollo para MICC, se evaluará su extensión a SICOQ en el marco del proceso de adquisición de una nueva plataforma que está en curso.</w:t>
      </w:r>
    </w:p>
    <w:p w14:paraId="5C30016B" w14:textId="77777777" w:rsidR="00B722F7" w:rsidRPr="00B722F7" w:rsidRDefault="00B722F7" w:rsidP="00B722F7">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De cara a ello, la oportunidad se incorpora en la versión I de los flujogramas de los procesos de Cannabis vinculados a MICC, reconociendo el desarrollo en curso como avance hacia la validación automática, con la anotación de que en su fase actual no opera como restricción de ingreso al flujo de radicación. La validación restrictiva plena y su eventual extensión a SICOQ se incorporan en la versión II como recomendación estructural.</w:t>
      </w:r>
    </w:p>
    <w:p w14:paraId="5BF27D43" w14:textId="77777777" w:rsidR="00E07753" w:rsidRPr="00DC0666" w:rsidRDefault="00E07753" w:rsidP="00E07753">
      <w:pPr>
        <w:spacing w:before="40" w:after="160"/>
        <w:rPr>
          <w:rFonts w:ascii="Times New Roman" w:hAnsi="Times New Roman" w:cs="Times New Roman"/>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22974F21" w14:textId="77777777" w:rsidTr="00E07753">
        <w:tc>
          <w:tcPr>
            <w:tcW w:w="10080" w:type="dxa"/>
            <w:gridSpan w:val="2"/>
            <w:tcMar>
              <w:top w:w="80" w:type="dxa"/>
              <w:left w:w="120" w:type="dxa"/>
              <w:bottom w:w="80" w:type="dxa"/>
              <w:right w:w="120" w:type="dxa"/>
            </w:tcMar>
          </w:tcPr>
          <w:p w14:paraId="00BC60F7" w14:textId="77777777" w:rsidR="00E07753" w:rsidRPr="00DC0666"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C-</w:t>
            </w:r>
            <w:proofErr w:type="gramStart"/>
            <w:r>
              <w:rPr>
                <w:rFonts w:ascii="Times New Roman" w:eastAsia="DM Mono" w:hAnsi="Times New Roman" w:cs="Times New Roman"/>
                <w:b/>
                <w:bCs/>
                <w:sz w:val="24"/>
                <w:szCs w:val="24"/>
                <w:lang w:val="es-419"/>
              </w:rPr>
              <w:t xml:space="preserve">4  </w:t>
            </w:r>
            <w:r>
              <w:rPr>
                <w:rFonts w:ascii="Times New Roman" w:hAnsi="Times New Roman" w:cs="Times New Roman"/>
                <w:b/>
                <w:bCs/>
                <w:sz w:val="24"/>
                <w:szCs w:val="24"/>
                <w:lang w:val="es-419"/>
              </w:rPr>
              <w:t>Integrar</w:t>
            </w:r>
            <w:proofErr w:type="gramEnd"/>
            <w:r>
              <w:rPr>
                <w:rFonts w:ascii="Times New Roman" w:hAnsi="Times New Roman" w:cs="Times New Roman"/>
                <w:b/>
                <w:bCs/>
                <w:sz w:val="24"/>
                <w:szCs w:val="24"/>
                <w:lang w:val="es-419"/>
              </w:rPr>
              <w:t xml:space="preserve"> el seguimiento de acuerdos de pago y liquidación de obligaciones dentro de MICC</w:t>
            </w:r>
          </w:p>
          <w:p w14:paraId="55E08D3D" w14:textId="72C97A0E" w:rsidR="001956F7" w:rsidRPr="00B722F7" w:rsidRDefault="00E07753" w:rsidP="00B722F7">
            <w:pPr>
              <w:spacing w:after="60"/>
              <w:jc w:val="center"/>
              <w:rPr>
                <w:rFonts w:ascii="Times New Roman" w:hAnsi="Times New Roman" w:cs="Times New Roman"/>
                <w:b/>
                <w:bCs/>
                <w:sz w:val="24"/>
                <w:szCs w:val="24"/>
                <w:lang w:val="es-419"/>
              </w:rPr>
            </w:pPr>
            <w:proofErr w:type="gramStart"/>
            <w:r>
              <w:rPr>
                <w:rFonts w:ascii="Times New Roman" w:hAnsi="Times New Roman" w:cs="Times New Roman"/>
                <w:b/>
                <w:bCs/>
                <w:sz w:val="24"/>
                <w:szCs w:val="24"/>
                <w:lang w:val="es-419"/>
              </w:rPr>
              <w:t>CANNABIS  ·</w:t>
            </w:r>
            <w:proofErr w:type="gramEnd"/>
            <w:r>
              <w:rPr>
                <w:rFonts w:ascii="Times New Roman" w:hAnsi="Times New Roman" w:cs="Times New Roman"/>
                <w:b/>
                <w:bCs/>
                <w:sz w:val="24"/>
                <w:szCs w:val="24"/>
                <w:lang w:val="es-419"/>
              </w:rPr>
              <w:t xml:space="preserve">  PCR-18, PCR-27</w:t>
            </w:r>
          </w:p>
        </w:tc>
      </w:tr>
      <w:tr w:rsidR="00E07753" w:rsidRPr="00B722F7" w14:paraId="63D40989" w14:textId="77777777" w:rsidTr="00E07753">
        <w:tc>
          <w:tcPr>
            <w:tcW w:w="3118" w:type="dxa"/>
            <w:tcMar>
              <w:top w:w="80" w:type="dxa"/>
              <w:left w:w="120" w:type="dxa"/>
              <w:bottom w:w="80" w:type="dxa"/>
              <w:right w:w="120" w:type="dxa"/>
            </w:tcMar>
          </w:tcPr>
          <w:p w14:paraId="21C36E7F"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6172B8E1"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PCR-18 · Fase 7.2: "Clasificar la cartera de licenciatarios por antigüedad de mora" apoyado en bases Excel externas no integradas a MICC.</w:t>
            </w:r>
          </w:p>
          <w:p w14:paraId="092B792B"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 xml:space="preserve">PCR-27: "Configurar el plan de pagos en MICC" + "Monitorear el cumplimiento de cuotas" </w:t>
            </w:r>
          </w:p>
        </w:tc>
      </w:tr>
      <w:tr w:rsidR="00E07753" w:rsidRPr="00B722F7" w14:paraId="536F0947" w14:textId="77777777" w:rsidTr="00E07753">
        <w:tc>
          <w:tcPr>
            <w:tcW w:w="3118" w:type="dxa"/>
            <w:tcMar>
              <w:top w:w="80" w:type="dxa"/>
              <w:left w:w="120" w:type="dxa"/>
              <w:bottom w:w="80" w:type="dxa"/>
              <w:right w:w="120" w:type="dxa"/>
            </w:tcMar>
          </w:tcPr>
          <w:p w14:paraId="587EBF55"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117F15AB" w14:textId="07BD1F8A" w:rsidR="00E07753" w:rsidRPr="00DC0666" w:rsidRDefault="00E07753" w:rsidP="00B722F7">
            <w:pPr>
              <w:spacing w:before="40" w:after="160"/>
              <w:rPr>
                <w:rFonts w:ascii="Times New Roman" w:hAnsi="Times New Roman" w:cs="Times New Roman"/>
                <w:sz w:val="24"/>
                <w:szCs w:val="24"/>
                <w:lang w:val="es-419"/>
              </w:rPr>
            </w:pPr>
            <w:r>
              <w:rPr>
                <w:rFonts w:ascii="Times New Roman" w:hAnsi="Times New Roman" w:cs="Times New Roman"/>
                <w:sz w:val="24"/>
                <w:szCs w:val="24"/>
                <w:lang w:val="es-419"/>
              </w:rPr>
              <w:t>Los procesos de liquidación y acuerdos de facilidad de pago se gestionan fuera del MICC mediante hojas de cálculo externas (P38). El tiempo entre identificación de mora y requerimiento varía entre menos de 5 días y más de 30 según el profesional lo que evidencia la ausencia de protocolo (P34).</w:t>
            </w:r>
            <w:r w:rsidR="00B722F7">
              <w:rPr>
                <w:rFonts w:ascii="Times New Roman" w:hAnsi="Times New Roman" w:cs="Times New Roman"/>
                <w:sz w:val="24"/>
                <w:szCs w:val="24"/>
                <w:lang w:val="es-419"/>
              </w:rPr>
              <w:t xml:space="preserve"> </w:t>
            </w:r>
            <w:r w:rsidR="00B722F7">
              <w:rPr>
                <w:rFonts w:ascii="Times New Roman" w:hAnsi="Times New Roman" w:cs="Times New Roman"/>
                <w:sz w:val="24"/>
                <w:szCs w:val="24"/>
                <w:lang w:val="es-419"/>
              </w:rPr>
              <w:t xml:space="preserve">No hay módulos de actos administrativos sancionatorios, qué está en coactivo, y liquidaciones. </w:t>
            </w:r>
          </w:p>
        </w:tc>
      </w:tr>
      <w:tr w:rsidR="00E07753" w:rsidRPr="00B722F7" w14:paraId="3DF2E4E7" w14:textId="77777777" w:rsidTr="00E07753">
        <w:tc>
          <w:tcPr>
            <w:tcW w:w="3118" w:type="dxa"/>
            <w:tcMar>
              <w:top w:w="80" w:type="dxa"/>
              <w:left w:w="120" w:type="dxa"/>
              <w:bottom w:w="80" w:type="dxa"/>
              <w:right w:w="120" w:type="dxa"/>
            </w:tcMar>
          </w:tcPr>
          <w:p w14:paraId="65C3BF8F"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2198B7D4"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PCR-18: el paso "Clasificar cartera por antigüedad" debe ejecutarse automáticamente por MICC con reporte periódico al financiero. </w:t>
            </w:r>
            <w:r>
              <w:rPr>
                <w:rFonts w:ascii="Times New Roman" w:hAnsi="Times New Roman" w:cs="Times New Roman"/>
                <w:sz w:val="24"/>
                <w:szCs w:val="24"/>
              </w:rPr>
              <w:t xml:space="preserve">El </w:t>
            </w:r>
            <w:proofErr w:type="spellStart"/>
            <w:r>
              <w:rPr>
                <w:rFonts w:ascii="Times New Roman" w:hAnsi="Times New Roman" w:cs="Times New Roman"/>
                <w:sz w:val="24"/>
                <w:szCs w:val="24"/>
              </w:rPr>
              <w:t>flujograma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modifica</w:t>
            </w:r>
            <w:proofErr w:type="spellEnd"/>
            <w:r>
              <w:rPr>
                <w:rFonts w:ascii="Times New Roman" w:hAnsi="Times New Roman" w:cs="Times New Roman"/>
                <w:sz w:val="24"/>
                <w:szCs w:val="24"/>
              </w:rPr>
              <w:t xml:space="preserve"> ese paso de "</w:t>
            </w:r>
            <w:proofErr w:type="spellStart"/>
            <w:r>
              <w:rPr>
                <w:rFonts w:ascii="Times New Roman" w:hAnsi="Times New Roman" w:cs="Times New Roman"/>
                <w:sz w:val="24"/>
                <w:szCs w:val="24"/>
              </w:rPr>
              <w:t>Clasificar</w:t>
            </w:r>
            <w:proofErr w:type="spellEnd"/>
            <w:r>
              <w:rPr>
                <w:rFonts w:ascii="Times New Roman" w:hAnsi="Times New Roman" w:cs="Times New Roman"/>
                <w:sz w:val="24"/>
                <w:szCs w:val="24"/>
              </w:rPr>
              <w:t>" a "</w:t>
            </w:r>
            <w:proofErr w:type="spellStart"/>
            <w:r>
              <w:rPr>
                <w:rFonts w:ascii="Times New Roman" w:hAnsi="Times New Roman" w:cs="Times New Roman"/>
                <w:sz w:val="24"/>
                <w:szCs w:val="24"/>
              </w:rPr>
              <w:t>Revisar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reporte</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cartera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generado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por</w:t>
            </w:r>
            <w:proofErr w:type="spellEnd"/>
            <w:r>
              <w:rPr>
                <w:rFonts w:ascii="Times New Roman" w:hAnsi="Times New Roman" w:cs="Times New Roman"/>
                <w:sz w:val="24"/>
                <w:szCs w:val="24"/>
              </w:rPr>
              <w:t xml:space="preserve"> MICC"</w:t>
            </w:r>
          </w:p>
          <w:p w14:paraId="7AD1028C"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PCR-27: el paso "Monitorear cumplimiento de cuotas" debe convertirse en una alerta automática de MICC cuando una cuota vence sin registro de pago. </w:t>
            </w:r>
            <w:proofErr w:type="spellStart"/>
            <w:r>
              <w:rPr>
                <w:rFonts w:ascii="Times New Roman" w:hAnsi="Times New Roman" w:cs="Times New Roman"/>
                <w:sz w:val="24"/>
                <w:szCs w:val="24"/>
              </w:rPr>
              <w:t>Eliminar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supervisión</w:t>
            </w:r>
            <w:proofErr w:type="spellEnd"/>
            <w:r>
              <w:rPr>
                <w:rFonts w:ascii="Times New Roman" w:hAnsi="Times New Roman" w:cs="Times New Roman"/>
                <w:sz w:val="24"/>
                <w:szCs w:val="24"/>
              </w:rPr>
              <w:t xml:space="preserve"> manual </w:t>
            </w:r>
            <w:proofErr w:type="spellStart"/>
            <w:r>
              <w:rPr>
                <w:rFonts w:ascii="Times New Roman" w:hAnsi="Times New Roman" w:cs="Times New Roman"/>
                <w:sz w:val="24"/>
                <w:szCs w:val="24"/>
              </w:rPr>
              <w:t>periódica</w:t>
            </w:r>
            <w:proofErr w:type="spellEnd"/>
            <w:r>
              <w:rPr>
                <w:rFonts w:ascii="Times New Roman" w:hAnsi="Times New Roman" w:cs="Times New Roman"/>
                <w:sz w:val="24"/>
                <w:szCs w:val="24"/>
              </w:rPr>
              <w:t>.</w:t>
            </w:r>
          </w:p>
          <w:p w14:paraId="3F5BC073"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Medida transitoria: estandarizar el Excel con plantilla oficial auditada, con control de versiones y permisos de solo lectura para no responsables.</w:t>
            </w:r>
          </w:p>
        </w:tc>
      </w:tr>
      <w:tr w:rsidR="00E07753" w:rsidRPr="00B722F7" w14:paraId="5CD8C10D" w14:textId="77777777" w:rsidTr="00E07753">
        <w:tc>
          <w:tcPr>
            <w:tcW w:w="3118" w:type="dxa"/>
            <w:tcMar>
              <w:top w:w="80" w:type="dxa"/>
              <w:left w:w="120" w:type="dxa"/>
              <w:bottom w:w="80" w:type="dxa"/>
              <w:right w:w="120" w:type="dxa"/>
            </w:tcMar>
          </w:tcPr>
          <w:p w14:paraId="2A4445B0"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18324DA0"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Recupera trazabilidad financiera completa, elimina riesgo de pérdida de datos al cierre de contratos, y permite gestionar más cartera con el mismo tiempo al automatizar el seguimiento rutinario.</w:t>
            </w:r>
          </w:p>
        </w:tc>
      </w:tr>
    </w:tbl>
    <w:p w14:paraId="48D8851A" w14:textId="77777777" w:rsidR="00B722F7" w:rsidRDefault="00B722F7" w:rsidP="00B722F7">
      <w:pPr>
        <w:spacing w:before="40" w:after="160"/>
        <w:rPr>
          <w:rFonts w:ascii="Times New Roman" w:hAnsi="Times New Roman" w:cs="Times New Roman"/>
          <w:sz w:val="24"/>
          <w:szCs w:val="24"/>
          <w:lang w:val="es-419"/>
        </w:rPr>
      </w:pPr>
    </w:p>
    <w:p w14:paraId="20B8330F" w14:textId="2D3E448C" w:rsidR="00B722F7" w:rsidRPr="00B722F7" w:rsidRDefault="00B722F7" w:rsidP="00B722F7">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B722F7">
        <w:rPr>
          <w:rFonts w:ascii="Times New Roman" w:hAnsi="Times New Roman" w:cs="Times New Roman"/>
          <w:sz w:val="24"/>
          <w:szCs w:val="24"/>
          <w:lang w:val="es-419"/>
        </w:rPr>
        <w:t>día martes</w:t>
      </w:r>
      <w:proofErr w:type="gramEnd"/>
      <w:r w:rsidRPr="00B722F7">
        <w:rPr>
          <w:rFonts w:ascii="Times New Roman" w:hAnsi="Times New Roman" w:cs="Times New Roman"/>
          <w:sz w:val="24"/>
          <w:szCs w:val="24"/>
          <w:lang w:val="es-419"/>
        </w:rPr>
        <w:t xml:space="preserve"> 19 de mayo se definió la aceptación de esta </w:t>
      </w:r>
      <w:r w:rsidRPr="00B722F7">
        <w:rPr>
          <w:rFonts w:ascii="Times New Roman" w:hAnsi="Times New Roman" w:cs="Times New Roman"/>
          <w:sz w:val="24"/>
          <w:szCs w:val="24"/>
          <w:lang w:val="es-419"/>
        </w:rPr>
        <w:lastRenderedPageBreak/>
        <w:t xml:space="preserve">propuesta como oportunidad de mejora de los procesos asociados a la subdirección. Tras reunión sostenida el día 22 de mayo con el líder del equipo de Sistemas, se confirmó que el desarrollo cuenta con un plan de </w:t>
      </w:r>
      <w:proofErr w:type="gramStart"/>
      <w:r w:rsidRPr="00B722F7">
        <w:rPr>
          <w:rFonts w:ascii="Times New Roman" w:hAnsi="Times New Roman" w:cs="Times New Roman"/>
          <w:sz w:val="24"/>
          <w:szCs w:val="24"/>
          <w:lang w:val="es-419"/>
        </w:rPr>
        <w:t>trabajo</w:t>
      </w:r>
      <w:proofErr w:type="gramEnd"/>
      <w:r w:rsidRPr="00B722F7">
        <w:rPr>
          <w:rFonts w:ascii="Times New Roman" w:hAnsi="Times New Roman" w:cs="Times New Roman"/>
          <w:sz w:val="24"/>
          <w:szCs w:val="24"/>
          <w:lang w:val="es-419"/>
        </w:rPr>
        <w:t xml:space="preserve"> pero sin fecha de inicio definida, dado que el equipo de Sistemas tiene priorizados otros cierres de hallazgo. El líder del equipo de Sistemas estimó que, con prioridad absoluta en el sistema vigente, el desarrollo podría tomar entre cuatro y cinco meses, sin contemplar la complejidad adicional que implicaría el componente de liquidación de obligaciones. </w:t>
      </w:r>
      <w:r>
        <w:rPr>
          <w:rFonts w:ascii="Times New Roman" w:hAnsi="Times New Roman" w:cs="Times New Roman"/>
          <w:sz w:val="24"/>
          <w:szCs w:val="24"/>
          <w:lang w:val="es-419"/>
        </w:rPr>
        <w:t xml:space="preserve">En </w:t>
      </w:r>
      <w:proofErr w:type="spellStart"/>
      <w:r>
        <w:rPr>
          <w:rFonts w:ascii="Times New Roman" w:hAnsi="Times New Roman" w:cs="Times New Roman"/>
          <w:sz w:val="24"/>
          <w:szCs w:val="24"/>
          <w:lang w:val="es-419"/>
        </w:rPr>
        <w:t>el</w:t>
      </w:r>
      <w:proofErr w:type="spellEnd"/>
      <w:r>
        <w:rPr>
          <w:rFonts w:ascii="Times New Roman" w:hAnsi="Times New Roman" w:cs="Times New Roman"/>
          <w:sz w:val="24"/>
          <w:szCs w:val="24"/>
          <w:lang w:val="es-419"/>
        </w:rPr>
        <w:t xml:space="preserve"> marco de un posible</w:t>
      </w:r>
      <w:r w:rsidRPr="00B722F7">
        <w:rPr>
          <w:rFonts w:ascii="Times New Roman" w:hAnsi="Times New Roman" w:cs="Times New Roman"/>
          <w:sz w:val="24"/>
          <w:szCs w:val="24"/>
          <w:lang w:val="es-419"/>
        </w:rPr>
        <w:t xml:space="preserve"> proceso de contratación orientado al desarrollo de una nueva plataforma para MICC y SICOQ, </w:t>
      </w:r>
      <w:r>
        <w:rPr>
          <w:rFonts w:ascii="Times New Roman" w:hAnsi="Times New Roman" w:cs="Times New Roman"/>
          <w:sz w:val="24"/>
          <w:szCs w:val="24"/>
          <w:lang w:val="es-419"/>
        </w:rPr>
        <w:t>se</w:t>
      </w:r>
      <w:r w:rsidRPr="00B722F7">
        <w:rPr>
          <w:rFonts w:ascii="Times New Roman" w:hAnsi="Times New Roman" w:cs="Times New Roman"/>
          <w:sz w:val="24"/>
          <w:szCs w:val="24"/>
          <w:lang w:val="es-419"/>
        </w:rPr>
        <w:t xml:space="preserve"> abre la posibilidad de que esta funcionalidad se construya directamente en el nuevo sistema, haciendo poco eficiente la inversión de esfuerzo en el sistema actual para un desarrollo de tal magnitud.</w:t>
      </w:r>
    </w:p>
    <w:p w14:paraId="558B8B28" w14:textId="6FB98F89" w:rsidR="00B722F7" w:rsidRPr="00B722F7" w:rsidRDefault="00B722F7" w:rsidP="00B722F7">
      <w:pPr>
        <w:spacing w:before="40" w:after="160"/>
        <w:rPr>
          <w:rFonts w:ascii="Times New Roman" w:hAnsi="Times New Roman" w:cs="Times New Roman"/>
          <w:sz w:val="24"/>
          <w:szCs w:val="24"/>
          <w:lang w:val="es-419"/>
        </w:rPr>
      </w:pPr>
      <w:r w:rsidRPr="00B722F7">
        <w:rPr>
          <w:rFonts w:ascii="Times New Roman" w:hAnsi="Times New Roman" w:cs="Times New Roman"/>
          <w:sz w:val="24"/>
          <w:szCs w:val="24"/>
          <w:lang w:val="es-419"/>
        </w:rPr>
        <w:t>De cara a ello, la oportunidad se incorpora únicamente en la versión II de los flujogramas de los procesos PCR-18 y PCR-27 como recomendación a considerar en el rediseño estructural de plataforma o en la eventual nueva plataforma</w:t>
      </w:r>
      <w:r>
        <w:rPr>
          <w:rFonts w:ascii="Times New Roman" w:hAnsi="Times New Roman" w:cs="Times New Roman"/>
          <w:sz w:val="24"/>
          <w:szCs w:val="24"/>
          <w:lang w:val="es-419"/>
        </w:rPr>
        <w:t>.</w:t>
      </w:r>
    </w:p>
    <w:p w14:paraId="209A5E79" w14:textId="77777777" w:rsidR="00B722F7" w:rsidRPr="00DC0666" w:rsidRDefault="00B722F7" w:rsidP="00E07753">
      <w:pPr>
        <w:spacing w:before="40" w:after="160"/>
        <w:rPr>
          <w:rFonts w:ascii="Times New Roman" w:hAnsi="Times New Roman" w:cs="Times New Roman"/>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3208DE" w14:paraId="4C4558AC" w14:textId="77777777" w:rsidTr="00E07753">
        <w:tc>
          <w:tcPr>
            <w:tcW w:w="10080" w:type="dxa"/>
            <w:gridSpan w:val="2"/>
            <w:tcMar>
              <w:top w:w="80" w:type="dxa"/>
              <w:left w:w="120" w:type="dxa"/>
              <w:bottom w:w="80" w:type="dxa"/>
              <w:right w:w="120" w:type="dxa"/>
            </w:tcMar>
          </w:tcPr>
          <w:p w14:paraId="0CED1132" w14:textId="77777777" w:rsidR="00E07753" w:rsidRPr="00DC0666"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C-</w:t>
            </w:r>
            <w:proofErr w:type="gramStart"/>
            <w:r>
              <w:rPr>
                <w:rFonts w:ascii="Times New Roman" w:eastAsia="DM Mono" w:hAnsi="Times New Roman" w:cs="Times New Roman"/>
                <w:b/>
                <w:bCs/>
                <w:sz w:val="24"/>
                <w:szCs w:val="24"/>
                <w:lang w:val="es-419"/>
              </w:rPr>
              <w:t xml:space="preserve">5  </w:t>
            </w:r>
            <w:r>
              <w:rPr>
                <w:rFonts w:ascii="Times New Roman" w:hAnsi="Times New Roman" w:cs="Times New Roman"/>
                <w:b/>
                <w:bCs/>
                <w:sz w:val="24"/>
                <w:szCs w:val="24"/>
                <w:lang w:val="es-419"/>
              </w:rPr>
              <w:t>Estandarizar</w:t>
            </w:r>
            <w:proofErr w:type="gramEnd"/>
            <w:r>
              <w:rPr>
                <w:rFonts w:ascii="Times New Roman" w:hAnsi="Times New Roman" w:cs="Times New Roman"/>
                <w:b/>
                <w:bCs/>
                <w:sz w:val="24"/>
                <w:szCs w:val="24"/>
                <w:lang w:val="es-419"/>
              </w:rPr>
              <w:t xml:space="preserve"> el registro </w:t>
            </w:r>
            <w:proofErr w:type="spellStart"/>
            <w:r>
              <w:rPr>
                <w:rFonts w:ascii="Times New Roman" w:hAnsi="Times New Roman" w:cs="Times New Roman"/>
                <w:b/>
                <w:bCs/>
                <w:sz w:val="24"/>
                <w:szCs w:val="24"/>
                <w:lang w:val="es-419"/>
              </w:rPr>
              <w:t>post-visita</w:t>
            </w:r>
            <w:proofErr w:type="spellEnd"/>
            <w:r>
              <w:rPr>
                <w:rFonts w:ascii="Times New Roman" w:hAnsi="Times New Roman" w:cs="Times New Roman"/>
                <w:b/>
                <w:bCs/>
                <w:sz w:val="24"/>
                <w:szCs w:val="24"/>
                <w:lang w:val="es-419"/>
              </w:rPr>
              <w:t xml:space="preserve"> técnica en MICC con formulario estructurado por tipo de visita</w:t>
            </w:r>
          </w:p>
          <w:p w14:paraId="7DB9642F" w14:textId="3510B6B1" w:rsidR="00E07753" w:rsidRPr="001D7AB4" w:rsidRDefault="00E07753" w:rsidP="001D7AB4">
            <w:pPr>
              <w:spacing w:after="60"/>
              <w:jc w:val="center"/>
              <w:rPr>
                <w:rFonts w:ascii="Times New Roman" w:hAnsi="Times New Roman" w:cs="Times New Roman"/>
                <w:b/>
                <w:bCs/>
                <w:sz w:val="24"/>
                <w:szCs w:val="24"/>
                <w:lang w:val="es-419"/>
              </w:rPr>
            </w:pPr>
            <w:proofErr w:type="gramStart"/>
            <w:r w:rsidRPr="00B722F7">
              <w:rPr>
                <w:rFonts w:ascii="Times New Roman" w:hAnsi="Times New Roman" w:cs="Times New Roman"/>
                <w:b/>
                <w:bCs/>
                <w:sz w:val="24"/>
                <w:szCs w:val="24"/>
                <w:lang w:val="es-419"/>
              </w:rPr>
              <w:t>CANNABIS  ·</w:t>
            </w:r>
            <w:proofErr w:type="gramEnd"/>
            <w:r w:rsidRPr="00B722F7">
              <w:rPr>
                <w:rFonts w:ascii="Times New Roman" w:hAnsi="Times New Roman" w:cs="Times New Roman"/>
                <w:b/>
                <w:bCs/>
                <w:sz w:val="24"/>
                <w:szCs w:val="24"/>
                <w:lang w:val="es-419"/>
              </w:rPr>
              <w:t xml:space="preserve">  PCR-11, PCR-22</w:t>
            </w:r>
            <w:r w:rsidRPr="003208DE">
              <w:rPr>
                <w:rFonts w:ascii="Times New Roman" w:hAnsi="Times New Roman" w:cs="Times New Roman"/>
                <w:b/>
                <w:bCs/>
                <w:sz w:val="24"/>
                <w:szCs w:val="24"/>
                <w:lang w:val="es-419"/>
              </w:rPr>
              <w:t xml:space="preserve"> </w:t>
            </w:r>
          </w:p>
        </w:tc>
      </w:tr>
      <w:tr w:rsidR="00E07753" w:rsidRPr="00B722F7" w14:paraId="6C9E3778" w14:textId="77777777" w:rsidTr="00E07753">
        <w:tc>
          <w:tcPr>
            <w:tcW w:w="3118" w:type="dxa"/>
            <w:tcMar>
              <w:top w:w="80" w:type="dxa"/>
              <w:left w:w="120" w:type="dxa"/>
              <w:bottom w:w="80" w:type="dxa"/>
              <w:right w:w="120" w:type="dxa"/>
            </w:tcMar>
          </w:tcPr>
          <w:p w14:paraId="1B67A7E9"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72A15EEC"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 xml:space="preserve">PCR-11 · Fase 2: "Mesa técnica y visita (si aplica)" el registro del acta de visita en MICC </w:t>
            </w:r>
            <w:proofErr w:type="spellStart"/>
            <w:r>
              <w:rPr>
                <w:rFonts w:ascii="Times New Roman" w:hAnsi="Times New Roman" w:cs="Times New Roman"/>
                <w:sz w:val="24"/>
                <w:szCs w:val="24"/>
                <w:lang w:val="es-419"/>
              </w:rPr>
              <w:t>post-campo</w:t>
            </w:r>
            <w:proofErr w:type="spellEnd"/>
            <w:r>
              <w:rPr>
                <w:rFonts w:ascii="Times New Roman" w:hAnsi="Times New Roman" w:cs="Times New Roman"/>
                <w:sz w:val="24"/>
                <w:szCs w:val="24"/>
                <w:lang w:val="es-419"/>
              </w:rPr>
              <w:t xml:space="preserve"> es uno de los principales obstáculos reportados.</w:t>
            </w:r>
          </w:p>
          <w:p w14:paraId="33C3764D"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PCR-22 · Fase 7.1: "Cargar reportes y soportes periódicos en el sistema" paso de mayor fricción del proceso de seguimiento.</w:t>
            </w:r>
          </w:p>
        </w:tc>
      </w:tr>
      <w:tr w:rsidR="00E07753" w:rsidRPr="00B722F7" w14:paraId="4FFBC8AE" w14:textId="77777777" w:rsidTr="00E07753">
        <w:tc>
          <w:tcPr>
            <w:tcW w:w="3118" w:type="dxa"/>
            <w:tcMar>
              <w:top w:w="80" w:type="dxa"/>
              <w:left w:w="120" w:type="dxa"/>
              <w:bottom w:w="80" w:type="dxa"/>
              <w:right w:w="120" w:type="dxa"/>
            </w:tcMar>
          </w:tcPr>
          <w:p w14:paraId="0CC2EC16"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2CE7B447"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Sencillez de registro </w:t>
            </w:r>
            <w:proofErr w:type="spellStart"/>
            <w:r>
              <w:rPr>
                <w:rFonts w:ascii="Times New Roman" w:hAnsi="Times New Roman" w:cs="Times New Roman"/>
                <w:sz w:val="24"/>
                <w:szCs w:val="24"/>
                <w:lang w:val="es-419"/>
              </w:rPr>
              <w:t>post-visita</w:t>
            </w:r>
            <w:proofErr w:type="spellEnd"/>
            <w:r>
              <w:rPr>
                <w:rFonts w:ascii="Times New Roman" w:hAnsi="Times New Roman" w:cs="Times New Roman"/>
                <w:sz w:val="24"/>
                <w:szCs w:val="24"/>
                <w:lang w:val="es-419"/>
              </w:rPr>
              <w:t xml:space="preserve"> en MICC: media 6.55/10, mediana 7 (P18) con problemas cualitativos identificados: campos innecesarios, formulario no adaptado por tipo de visita, dificultad de cargar desde campo (P17). Problemas para cargar desde campo son el obstáculo principal en logística de visitas.</w:t>
            </w:r>
          </w:p>
        </w:tc>
      </w:tr>
      <w:tr w:rsidR="00E07753" w:rsidRPr="00B722F7" w14:paraId="3455C84A" w14:textId="77777777" w:rsidTr="00E07753">
        <w:tc>
          <w:tcPr>
            <w:tcW w:w="3118" w:type="dxa"/>
            <w:tcMar>
              <w:top w:w="80" w:type="dxa"/>
              <w:left w:w="120" w:type="dxa"/>
              <w:bottom w:w="80" w:type="dxa"/>
              <w:right w:w="120" w:type="dxa"/>
            </w:tcMar>
          </w:tcPr>
          <w:p w14:paraId="094EA098"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2873917B"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 xml:space="preserve">Añadir en el flujo un paso de registro en campo (no solo </w:t>
            </w:r>
            <w:proofErr w:type="spellStart"/>
            <w:r>
              <w:rPr>
                <w:rFonts w:ascii="Times New Roman" w:hAnsi="Times New Roman" w:cs="Times New Roman"/>
                <w:sz w:val="24"/>
                <w:szCs w:val="24"/>
                <w:lang w:val="es-419"/>
              </w:rPr>
              <w:t>post-visita</w:t>
            </w:r>
            <w:proofErr w:type="spellEnd"/>
            <w:r>
              <w:rPr>
                <w:rFonts w:ascii="Times New Roman" w:hAnsi="Times New Roman" w:cs="Times New Roman"/>
                <w:sz w:val="24"/>
                <w:szCs w:val="24"/>
                <w:lang w:val="es-419"/>
              </w:rPr>
              <w:t xml:space="preserve"> en oficina): formulario MICC adaptable a dispositivo móvil, con campos específicos por tipo de visita.</w:t>
            </w:r>
          </w:p>
          <w:p w14:paraId="74A0E03D"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Eliminar campos reportados como innecesarios por el equipo técnico, identificados en el análisis de contenido de P60.</w:t>
            </w:r>
          </w:p>
          <w:p w14:paraId="5AC78C14"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Georreferenciación predial: incluir verificación cartográfica integrada al acta de visita, actualmente ausente y mencionada como necesidad en P17.</w:t>
            </w:r>
          </w:p>
        </w:tc>
      </w:tr>
      <w:tr w:rsidR="00E07753" w:rsidRPr="00B722F7" w14:paraId="26E8110A" w14:textId="77777777" w:rsidTr="00E07753">
        <w:tc>
          <w:tcPr>
            <w:tcW w:w="3118" w:type="dxa"/>
            <w:tcMar>
              <w:top w:w="80" w:type="dxa"/>
              <w:left w:w="120" w:type="dxa"/>
              <w:bottom w:w="80" w:type="dxa"/>
              <w:right w:w="120" w:type="dxa"/>
            </w:tcMar>
          </w:tcPr>
          <w:p w14:paraId="59F17D5F"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20639216"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Reduce tiempo de registro </w:t>
            </w:r>
            <w:proofErr w:type="spellStart"/>
            <w:r>
              <w:rPr>
                <w:rFonts w:ascii="Times New Roman" w:hAnsi="Times New Roman" w:cs="Times New Roman"/>
                <w:sz w:val="24"/>
                <w:szCs w:val="24"/>
                <w:lang w:val="es-419"/>
              </w:rPr>
              <w:t>post-visita</w:t>
            </w:r>
            <w:proofErr w:type="spellEnd"/>
            <w:r>
              <w:rPr>
                <w:rFonts w:ascii="Times New Roman" w:hAnsi="Times New Roman" w:cs="Times New Roman"/>
                <w:sz w:val="24"/>
                <w:szCs w:val="24"/>
                <w:lang w:val="es-419"/>
              </w:rPr>
              <w:t xml:space="preserve"> y fricción del técnico de campo. Mejora completitud de registros, reduciendo reprocesos por información faltante en etapas posteriores.</w:t>
            </w:r>
          </w:p>
        </w:tc>
      </w:tr>
    </w:tbl>
    <w:p w14:paraId="3AD0074D" w14:textId="5C913A7B" w:rsidR="001D7AB4" w:rsidRPr="001D7AB4" w:rsidRDefault="001D7AB4" w:rsidP="001D7AB4">
      <w:pPr>
        <w:spacing w:before="40" w:after="160"/>
        <w:rPr>
          <w:rFonts w:ascii="Times New Roman" w:hAnsi="Times New Roman" w:cs="Times New Roman"/>
          <w:sz w:val="24"/>
          <w:szCs w:val="24"/>
          <w:lang w:val="es-419"/>
        </w:rPr>
      </w:pPr>
      <w:r w:rsidRPr="001D7AB4">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1D7AB4">
        <w:rPr>
          <w:rFonts w:ascii="Times New Roman" w:hAnsi="Times New Roman" w:cs="Times New Roman"/>
          <w:sz w:val="24"/>
          <w:szCs w:val="24"/>
          <w:lang w:val="es-419"/>
        </w:rPr>
        <w:t>día martes</w:t>
      </w:r>
      <w:proofErr w:type="gramEnd"/>
      <w:r w:rsidRPr="001D7AB4">
        <w:rPr>
          <w:rFonts w:ascii="Times New Roman" w:hAnsi="Times New Roman" w:cs="Times New Roman"/>
          <w:sz w:val="24"/>
          <w:szCs w:val="24"/>
          <w:lang w:val="es-419"/>
        </w:rPr>
        <w:t xml:space="preserve"> 19 de mayo se definió la aceptación de esta </w:t>
      </w:r>
      <w:r w:rsidRPr="001D7AB4">
        <w:rPr>
          <w:rFonts w:ascii="Times New Roman" w:hAnsi="Times New Roman" w:cs="Times New Roman"/>
          <w:sz w:val="24"/>
          <w:szCs w:val="24"/>
          <w:lang w:val="es-419"/>
        </w:rPr>
        <w:lastRenderedPageBreak/>
        <w:t>propuesta como oportunidad de mejora de los procesos asociados a la subdirección. Tras reunión sostenida el día 22 de mayo con el líder del equipo de Sistemas, se confirmó que la solución transitoria implementada consiste en el diligenciamiento del acta en formato PDF con editor digital incluyendo firma electrónica</w:t>
      </w:r>
      <w:r>
        <w:rPr>
          <w:rFonts w:ascii="Times New Roman" w:hAnsi="Times New Roman" w:cs="Times New Roman"/>
          <w:sz w:val="24"/>
          <w:szCs w:val="24"/>
          <w:lang w:val="es-419"/>
        </w:rPr>
        <w:t xml:space="preserve"> </w:t>
      </w:r>
      <w:r w:rsidRPr="001D7AB4">
        <w:rPr>
          <w:rFonts w:ascii="Times New Roman" w:hAnsi="Times New Roman" w:cs="Times New Roman"/>
          <w:sz w:val="24"/>
          <w:szCs w:val="24"/>
          <w:lang w:val="es-419"/>
        </w:rPr>
        <w:t xml:space="preserve">y su carga posterior al sistema una vez recuperada la cobertura de internet. La solicitud del equipo técnico de campo es el desarrollo de una aplicación web con funcionamiento offline que sincronice automáticamente al reconectarse; el líder del equipo de Sistemas estimó que dicha aplicación tomaría mínimo seis meses de desarrollo e implica procesos adicionales de publicación en tiendas de aplicaciones, con complejidades particulares en dispositivos Apple que actualmente usa el equipo de campo. En el marco de la reunión se acordó que, como medida de corto plazo, </w:t>
      </w:r>
      <w:r>
        <w:rPr>
          <w:rFonts w:ascii="Times New Roman" w:hAnsi="Times New Roman" w:cs="Times New Roman"/>
          <w:sz w:val="24"/>
          <w:szCs w:val="24"/>
          <w:lang w:val="es-419"/>
        </w:rPr>
        <w:t>se</w:t>
      </w:r>
      <w:r w:rsidRPr="001D7AB4">
        <w:rPr>
          <w:rFonts w:ascii="Times New Roman" w:hAnsi="Times New Roman" w:cs="Times New Roman"/>
          <w:sz w:val="24"/>
          <w:szCs w:val="24"/>
          <w:lang w:val="es-419"/>
        </w:rPr>
        <w:t xml:space="preserve"> podría adelantar una revisión del formulario vigente para eliminar campos reportados como innecesarios e incorporar oportunidades de mejora identificadas en la encuesta, sin llegar al nivel de desarrollo de una aplicación.</w:t>
      </w:r>
    </w:p>
    <w:p w14:paraId="59B4D962" w14:textId="77777777" w:rsidR="001D7AB4" w:rsidRPr="001D7AB4" w:rsidRDefault="001D7AB4" w:rsidP="001D7AB4">
      <w:pPr>
        <w:spacing w:before="40" w:after="160"/>
        <w:rPr>
          <w:rFonts w:ascii="Times New Roman" w:hAnsi="Times New Roman" w:cs="Times New Roman"/>
          <w:sz w:val="24"/>
          <w:szCs w:val="24"/>
          <w:lang w:val="es-419"/>
        </w:rPr>
      </w:pPr>
      <w:r w:rsidRPr="001D7AB4">
        <w:rPr>
          <w:rFonts w:ascii="Times New Roman" w:hAnsi="Times New Roman" w:cs="Times New Roman"/>
          <w:sz w:val="24"/>
          <w:szCs w:val="24"/>
          <w:lang w:val="es-419"/>
        </w:rPr>
        <w:t>De cara a ello, la solución transitoria de diligenciamiento en PDF se incorpora en la versión I de los flujogramas de los procesos PCR-11 y PCR-22 como medida ya implementada. El desarrollo de la aplicación offline con georeferenciación predial y formulario adaptable por tipo de visita se incorpora en la versión II como recomendación estructural de mediano plazo.</w:t>
      </w:r>
    </w:p>
    <w:p w14:paraId="2FE26534" w14:textId="77777777" w:rsidR="00E07753" w:rsidRPr="00DC0666" w:rsidRDefault="00E07753" w:rsidP="00E07753">
      <w:pPr>
        <w:spacing w:before="40" w:after="160"/>
        <w:rPr>
          <w:rFonts w:ascii="Times New Roman" w:hAnsi="Times New Roman" w:cs="Times New Roman"/>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080849F0" w14:textId="77777777" w:rsidTr="00E07753">
        <w:tc>
          <w:tcPr>
            <w:tcW w:w="10080" w:type="dxa"/>
            <w:gridSpan w:val="2"/>
            <w:tcMar>
              <w:top w:w="80" w:type="dxa"/>
              <w:left w:w="120" w:type="dxa"/>
              <w:bottom w:w="80" w:type="dxa"/>
              <w:right w:w="120" w:type="dxa"/>
            </w:tcMar>
          </w:tcPr>
          <w:p w14:paraId="1B515B0D" w14:textId="77777777" w:rsidR="00E07753" w:rsidRPr="00DC0666"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C-</w:t>
            </w:r>
            <w:proofErr w:type="gramStart"/>
            <w:r>
              <w:rPr>
                <w:rFonts w:ascii="Times New Roman" w:eastAsia="DM Mono" w:hAnsi="Times New Roman" w:cs="Times New Roman"/>
                <w:b/>
                <w:bCs/>
                <w:sz w:val="24"/>
                <w:szCs w:val="24"/>
                <w:lang w:val="es-419"/>
              </w:rPr>
              <w:t xml:space="preserve">6  </w:t>
            </w:r>
            <w:r>
              <w:rPr>
                <w:rFonts w:ascii="Times New Roman" w:hAnsi="Times New Roman" w:cs="Times New Roman"/>
                <w:b/>
                <w:bCs/>
                <w:sz w:val="24"/>
                <w:szCs w:val="24"/>
                <w:lang w:val="es-419"/>
              </w:rPr>
              <w:t>Aplicar</w:t>
            </w:r>
            <w:proofErr w:type="gramEnd"/>
            <w:r>
              <w:rPr>
                <w:rFonts w:ascii="Times New Roman" w:hAnsi="Times New Roman" w:cs="Times New Roman"/>
                <w:b/>
                <w:bCs/>
                <w:sz w:val="24"/>
                <w:szCs w:val="24"/>
                <w:lang w:val="es-419"/>
              </w:rPr>
              <w:t xml:space="preserve"> revisión por riesgo en el proceso sancionatorio: agilizar casos de precedente claro</w:t>
            </w:r>
          </w:p>
          <w:p w14:paraId="1B1ECF6D" w14:textId="3EB6270A" w:rsidR="00E07753" w:rsidRPr="000654E5" w:rsidRDefault="00E07753" w:rsidP="00FD3896">
            <w:pPr>
              <w:spacing w:after="60"/>
              <w:jc w:val="center"/>
              <w:rPr>
                <w:rFonts w:ascii="Cambria Math" w:hAnsi="Cambria Math" w:cs="Cambria Math"/>
                <w:sz w:val="24"/>
                <w:szCs w:val="24"/>
                <w:lang w:val="es-419"/>
              </w:rPr>
            </w:pPr>
            <w:proofErr w:type="gramStart"/>
            <w:r w:rsidRPr="000654E5">
              <w:rPr>
                <w:rFonts w:ascii="Times New Roman" w:hAnsi="Times New Roman" w:cs="Times New Roman"/>
                <w:b/>
                <w:bCs/>
                <w:sz w:val="24"/>
                <w:szCs w:val="24"/>
                <w:lang w:val="es-419"/>
              </w:rPr>
              <w:t>CANNABIS  ·</w:t>
            </w:r>
            <w:proofErr w:type="gramEnd"/>
            <w:r w:rsidRPr="000654E5">
              <w:rPr>
                <w:rFonts w:ascii="Times New Roman" w:hAnsi="Times New Roman" w:cs="Times New Roman"/>
                <w:b/>
                <w:bCs/>
                <w:sz w:val="24"/>
                <w:szCs w:val="24"/>
                <w:lang w:val="es-419"/>
              </w:rPr>
              <w:t xml:space="preserve">  PCR-24</w:t>
            </w:r>
          </w:p>
        </w:tc>
      </w:tr>
      <w:tr w:rsidR="00E07753" w:rsidRPr="00B722F7" w14:paraId="1D54A27A" w14:textId="77777777" w:rsidTr="00E07753">
        <w:tc>
          <w:tcPr>
            <w:tcW w:w="3118" w:type="dxa"/>
            <w:tcMar>
              <w:top w:w="80" w:type="dxa"/>
              <w:left w:w="120" w:type="dxa"/>
              <w:bottom w:w="80" w:type="dxa"/>
              <w:right w:w="120" w:type="dxa"/>
            </w:tcMar>
          </w:tcPr>
          <w:p w14:paraId="41093EA6"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1AB54491"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PCR-24 · Fase 1: todos los autos de apertura pasan por: Proyectar → Revisar (par) → Revisar (coordinador) → Firmar (subdirector), incluso en casos simples o de precedente claro.</w:t>
            </w:r>
          </w:p>
          <w:p w14:paraId="3714357C"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PCR-24 · Fases 2–4: la cadena completa de revisión se repite para cada acto: pliego de cargos, resolución final, resolución de recurso.</w:t>
            </w:r>
          </w:p>
        </w:tc>
      </w:tr>
      <w:tr w:rsidR="00E07753" w:rsidRPr="00DC0666" w14:paraId="5FFAEEBD" w14:textId="77777777" w:rsidTr="00E07753">
        <w:tc>
          <w:tcPr>
            <w:tcW w:w="3118" w:type="dxa"/>
            <w:tcMar>
              <w:top w:w="80" w:type="dxa"/>
              <w:left w:w="120" w:type="dxa"/>
              <w:bottom w:w="80" w:type="dxa"/>
              <w:right w:w="120" w:type="dxa"/>
            </w:tcMar>
          </w:tcPr>
          <w:p w14:paraId="52E9E049"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714E32AC"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La concentración de la revisión en pocas personas es el cuello más crítico desde la perspectiva de coordinadores (P50). Revisores con más de 50 AA simultáneos (P67). </w:t>
            </w:r>
          </w:p>
        </w:tc>
      </w:tr>
      <w:tr w:rsidR="00E07753" w:rsidRPr="00B722F7" w14:paraId="754C13E4" w14:textId="77777777" w:rsidTr="00E07753">
        <w:tc>
          <w:tcPr>
            <w:tcW w:w="3118" w:type="dxa"/>
            <w:tcMar>
              <w:top w:w="80" w:type="dxa"/>
              <w:left w:w="120" w:type="dxa"/>
              <w:bottom w:w="80" w:type="dxa"/>
              <w:right w:w="120" w:type="dxa"/>
            </w:tcMar>
          </w:tcPr>
          <w:p w14:paraId="38A5A50C"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45B995C6"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Clasificar casos al inicio en dos vías: Vía estándar (precedente claro, infracción tipificada, baja probabilidad de recurso) con cadena abreviada (proyectar → revisión final → firma), y Vía compleja (situación sin precedente, sanción grave) con cadena completa actual.</w:t>
            </w:r>
          </w:p>
          <w:p w14:paraId="7BB3B3A7"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Añadir en el paso inicial: "Clasificar complejidad del caso: ¿Existe precedente documentado? </w:t>
            </w:r>
            <w:r>
              <w:rPr>
                <w:rFonts w:ascii="Times New Roman" w:hAnsi="Times New Roman" w:cs="Times New Roman"/>
                <w:sz w:val="24"/>
                <w:szCs w:val="24"/>
              </w:rPr>
              <w:t xml:space="preserve">¿Es </w:t>
            </w:r>
            <w:proofErr w:type="spellStart"/>
            <w:r>
              <w:rPr>
                <w:rFonts w:ascii="Times New Roman" w:hAnsi="Times New Roman" w:cs="Times New Roman"/>
                <w:sz w:val="24"/>
                <w:szCs w:val="24"/>
              </w:rPr>
              <w:t>sanción</w:t>
            </w:r>
            <w:proofErr w:type="spellEnd"/>
            <w:r>
              <w:rPr>
                <w:rFonts w:ascii="Times New Roman" w:hAnsi="Times New Roman" w:cs="Times New Roman"/>
                <w:sz w:val="24"/>
                <w:szCs w:val="24"/>
              </w:rPr>
              <w:t xml:space="preserve"> grave?" — </w:t>
            </w:r>
            <w:proofErr w:type="spellStart"/>
            <w:r>
              <w:rPr>
                <w:rFonts w:ascii="Times New Roman" w:hAnsi="Times New Roman" w:cs="Times New Roman"/>
                <w:sz w:val="24"/>
                <w:szCs w:val="24"/>
              </w:rPr>
              <w:t>orienta</w:t>
            </w:r>
            <w:proofErr w:type="spellEnd"/>
            <w:r>
              <w:rPr>
                <w:rFonts w:ascii="Times New Roman" w:hAnsi="Times New Roman" w:cs="Times New Roman"/>
                <w:sz w:val="24"/>
                <w:szCs w:val="24"/>
              </w:rPr>
              <w:t xml:space="preserve"> la </w:t>
            </w:r>
            <w:proofErr w:type="spellStart"/>
            <w:r>
              <w:rPr>
                <w:rFonts w:ascii="Times New Roman" w:hAnsi="Times New Roman" w:cs="Times New Roman"/>
                <w:sz w:val="24"/>
                <w:szCs w:val="24"/>
              </w:rPr>
              <w:t>vía</w:t>
            </w:r>
            <w:proofErr w:type="spellEnd"/>
            <w:r>
              <w:rPr>
                <w:rFonts w:ascii="Times New Roman" w:hAnsi="Times New Roman" w:cs="Times New Roman"/>
                <w:sz w:val="24"/>
                <w:szCs w:val="24"/>
              </w:rPr>
              <w:t xml:space="preserve"> a </w:t>
            </w:r>
            <w:proofErr w:type="spellStart"/>
            <w:r>
              <w:rPr>
                <w:rFonts w:ascii="Times New Roman" w:hAnsi="Times New Roman" w:cs="Times New Roman"/>
                <w:sz w:val="24"/>
                <w:szCs w:val="24"/>
              </w:rPr>
              <w:t>seguir</w:t>
            </w:r>
            <w:proofErr w:type="spellEnd"/>
            <w:r>
              <w:rPr>
                <w:rFonts w:ascii="Times New Roman" w:hAnsi="Times New Roman" w:cs="Times New Roman"/>
                <w:sz w:val="24"/>
                <w:szCs w:val="24"/>
              </w:rPr>
              <w:t>.</w:t>
            </w:r>
          </w:p>
          <w:p w14:paraId="38000EFF"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Documentar precedentes sancionatorios como condición habilitante para la vía estándar.</w:t>
            </w:r>
          </w:p>
        </w:tc>
      </w:tr>
      <w:tr w:rsidR="00E07753" w:rsidRPr="00B722F7" w14:paraId="5B5F5970" w14:textId="77777777" w:rsidTr="00E07753">
        <w:tc>
          <w:tcPr>
            <w:tcW w:w="3118" w:type="dxa"/>
            <w:tcMar>
              <w:top w:w="80" w:type="dxa"/>
              <w:left w:w="120" w:type="dxa"/>
              <w:bottom w:w="80" w:type="dxa"/>
              <w:right w:w="120" w:type="dxa"/>
            </w:tcMar>
          </w:tcPr>
          <w:p w14:paraId="02A40812"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lastRenderedPageBreak/>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69D63FED"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Descongestiona la carga del revisor par en sancionatorio, concentrando su atención en casos complejos. Reduce el tiempo de procesos estándar sin sacrificar calidad jurídica.</w:t>
            </w:r>
          </w:p>
        </w:tc>
      </w:tr>
    </w:tbl>
    <w:p w14:paraId="5FAE9AE6" w14:textId="77777777" w:rsidR="001D7AB4" w:rsidRDefault="001D7AB4" w:rsidP="00E07753">
      <w:pPr>
        <w:rPr>
          <w:rFonts w:ascii="Times New Roman" w:hAnsi="Times New Roman" w:cs="Times New Roman"/>
          <w:sz w:val="24"/>
          <w:szCs w:val="24"/>
          <w:lang w:val="es-419"/>
        </w:rPr>
      </w:pPr>
    </w:p>
    <w:p w14:paraId="6F158B9F" w14:textId="6C2BE557" w:rsidR="001D7AB4" w:rsidRDefault="001D7AB4" w:rsidP="00E07753">
      <w:pPr>
        <w:rPr>
          <w:rFonts w:ascii="Times New Roman" w:hAnsi="Times New Roman" w:cs="Times New Roman"/>
          <w:sz w:val="24"/>
          <w:szCs w:val="24"/>
          <w:lang w:val="es-419"/>
        </w:rPr>
      </w:pPr>
      <w:r w:rsidRPr="001D7AB4">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1D7AB4">
        <w:rPr>
          <w:rFonts w:ascii="Times New Roman" w:hAnsi="Times New Roman" w:cs="Times New Roman"/>
          <w:sz w:val="24"/>
          <w:szCs w:val="24"/>
          <w:lang w:val="es-419"/>
        </w:rPr>
        <w:t>día martes</w:t>
      </w:r>
      <w:proofErr w:type="gramEnd"/>
      <w:r w:rsidRPr="001D7AB4">
        <w:rPr>
          <w:rFonts w:ascii="Times New Roman" w:hAnsi="Times New Roman" w:cs="Times New Roman"/>
          <w:sz w:val="24"/>
          <w:szCs w:val="24"/>
          <w:lang w:val="es-419"/>
        </w:rPr>
        <w:t xml:space="preserve"> 19 de mayo, esta propuesta no fue aceptada como oportunidad de optimización de los procesos asociados a la subdirección. En consecuencia, no se incorpora en ninguna de las versiones de los flujogramas del proceso PCR-24.</w:t>
      </w:r>
    </w:p>
    <w:p w14:paraId="2B77D6B2" w14:textId="77777777" w:rsidR="001D7AB4" w:rsidRPr="001D7AB4" w:rsidRDefault="001D7AB4" w:rsidP="00E07753">
      <w:pPr>
        <w:rPr>
          <w:rFonts w:ascii="Times New Roman" w:hAnsi="Times New Roman" w:cs="Times New Roman"/>
          <w:sz w:val="24"/>
          <w:szCs w:val="24"/>
          <w:lang w:val="es-419"/>
        </w:rPr>
      </w:pPr>
    </w:p>
    <w:p w14:paraId="690373DA" w14:textId="6D04794E" w:rsidR="00E07753" w:rsidRPr="00DC0666" w:rsidRDefault="00E07753" w:rsidP="00E07753">
      <w:pPr>
        <w:rPr>
          <w:rFonts w:ascii="Times New Roman" w:hAnsi="Times New Roman" w:cs="Times New Roman"/>
          <w:b/>
          <w:bCs/>
          <w:sz w:val="24"/>
          <w:szCs w:val="24"/>
          <w:lang w:val="es-419"/>
        </w:rPr>
      </w:pPr>
      <w:r>
        <w:rPr>
          <w:rFonts w:ascii="Times New Roman" w:hAnsi="Times New Roman" w:cs="Times New Roman"/>
          <w:b/>
          <w:bCs/>
          <w:sz w:val="24"/>
          <w:szCs w:val="24"/>
          <w:lang w:val="es-419"/>
        </w:rPr>
        <w:t>3. Sustancias Químicas — Oportunidades Específicas</w:t>
      </w:r>
    </w:p>
    <w:p w14:paraId="44806F1A" w14:textId="77777777" w:rsidR="00E07753" w:rsidRPr="00DC0666" w:rsidRDefault="00E07753" w:rsidP="00E07753">
      <w:pPr>
        <w:spacing w:after="160"/>
        <w:rPr>
          <w:rFonts w:ascii="Times New Roman" w:hAnsi="Times New Roman" w:cs="Times New Roman"/>
          <w:i/>
          <w:iCs/>
          <w:sz w:val="24"/>
          <w:szCs w:val="24"/>
          <w:lang w:val="es-419"/>
        </w:rPr>
      </w:pPr>
    </w:p>
    <w:p w14:paraId="0E330A6C" w14:textId="77777777" w:rsidR="00E07753" w:rsidRPr="00DC0666" w:rsidRDefault="00E07753" w:rsidP="00E07753">
      <w:pPr>
        <w:spacing w:after="160"/>
        <w:rPr>
          <w:rFonts w:ascii="Times New Roman" w:hAnsi="Times New Roman" w:cs="Times New Roman"/>
          <w:sz w:val="24"/>
          <w:szCs w:val="24"/>
          <w:lang w:val="es-419"/>
        </w:rPr>
      </w:pPr>
      <w:r>
        <w:rPr>
          <w:rFonts w:ascii="Times New Roman" w:hAnsi="Times New Roman" w:cs="Times New Roman"/>
          <w:i/>
          <w:iCs/>
          <w:sz w:val="24"/>
          <w:szCs w:val="24"/>
          <w:lang w:val="es-419"/>
        </w:rPr>
        <w:t>PCR-09 (CCITE) · PCR-10 (Autorización Extraordinaria) · PCR-13 (Exportación) · PCR-14 (Importación) · PCR-25 (Mezclas) · PCR-26 (Medidas Preventivas)</w:t>
      </w:r>
    </w:p>
    <w:p w14:paraId="1A000001" w14:textId="2358AA30" w:rsidR="00E07753" w:rsidRPr="00DC0666" w:rsidRDefault="00E07753" w:rsidP="00E07753">
      <w:pPr>
        <w:rPr>
          <w:rFonts w:ascii="Times New Roman" w:hAnsi="Times New Roman" w:cs="Times New Roman"/>
          <w:i/>
          <w:iCs/>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07035EAD" w14:textId="77777777" w:rsidTr="00E07753">
        <w:tc>
          <w:tcPr>
            <w:tcW w:w="10080" w:type="dxa"/>
            <w:gridSpan w:val="2"/>
            <w:tcMar>
              <w:top w:w="80" w:type="dxa"/>
              <w:left w:w="120" w:type="dxa"/>
              <w:bottom w:w="80" w:type="dxa"/>
              <w:right w:w="120" w:type="dxa"/>
            </w:tcMar>
          </w:tcPr>
          <w:p w14:paraId="572379C5" w14:textId="5F3962CF" w:rsidR="00705B25" w:rsidRPr="00DC0666" w:rsidRDefault="00E07753" w:rsidP="001D7AB4">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S-</w:t>
            </w:r>
            <w:proofErr w:type="gramStart"/>
            <w:r>
              <w:rPr>
                <w:rFonts w:ascii="Times New Roman" w:eastAsia="DM Mono" w:hAnsi="Times New Roman" w:cs="Times New Roman"/>
                <w:b/>
                <w:bCs/>
                <w:sz w:val="24"/>
                <w:szCs w:val="24"/>
                <w:lang w:val="es-419"/>
              </w:rPr>
              <w:t xml:space="preserve">1  </w:t>
            </w:r>
            <w:r>
              <w:rPr>
                <w:rFonts w:ascii="Times New Roman" w:hAnsi="Times New Roman" w:cs="Times New Roman"/>
                <w:b/>
                <w:bCs/>
                <w:sz w:val="24"/>
                <w:szCs w:val="24"/>
                <w:lang w:val="es-419"/>
              </w:rPr>
              <w:t>Automatizar</w:t>
            </w:r>
            <w:proofErr w:type="gramEnd"/>
            <w:r>
              <w:rPr>
                <w:rFonts w:ascii="Times New Roman" w:hAnsi="Times New Roman" w:cs="Times New Roman"/>
                <w:b/>
                <w:bCs/>
                <w:sz w:val="24"/>
                <w:szCs w:val="24"/>
                <w:lang w:val="es-419"/>
              </w:rPr>
              <w:t xml:space="preserve"> el análisis de movimientos de sustancias en SICOQ, eliminando macros Excel manuales </w:t>
            </w:r>
            <w:proofErr w:type="gramStart"/>
            <w:r>
              <w:rPr>
                <w:rFonts w:ascii="Times New Roman" w:hAnsi="Times New Roman" w:cs="Times New Roman"/>
                <w:b/>
                <w:bCs/>
                <w:sz w:val="24"/>
                <w:szCs w:val="24"/>
                <w:lang w:val="es-419"/>
              </w:rPr>
              <w:t>SQ  ·</w:t>
            </w:r>
            <w:proofErr w:type="gramEnd"/>
            <w:r>
              <w:rPr>
                <w:rFonts w:ascii="Times New Roman" w:hAnsi="Times New Roman" w:cs="Times New Roman"/>
                <w:b/>
                <w:bCs/>
                <w:sz w:val="24"/>
                <w:szCs w:val="24"/>
                <w:lang w:val="es-419"/>
              </w:rPr>
              <w:t xml:space="preserve">  PCR-09, PCR-10, PCR-13, PCR-14</w:t>
            </w:r>
          </w:p>
        </w:tc>
      </w:tr>
      <w:tr w:rsidR="00E07753" w:rsidRPr="00B722F7" w14:paraId="27DD9B90" w14:textId="77777777" w:rsidTr="00E07753">
        <w:tc>
          <w:tcPr>
            <w:tcW w:w="3118" w:type="dxa"/>
            <w:tcMar>
              <w:top w:w="80" w:type="dxa"/>
              <w:left w:w="120" w:type="dxa"/>
              <w:bottom w:w="80" w:type="dxa"/>
              <w:right w:w="120" w:type="dxa"/>
            </w:tcMar>
          </w:tcPr>
          <w:p w14:paraId="2753B9BD"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5209458D"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PCR-09: "Revisar requisitos técnicos de la solicitud" + "Revisar antecedentes</w:t>
            </w:r>
            <w:proofErr w:type="gramStart"/>
            <w:r>
              <w:rPr>
                <w:rFonts w:ascii="Times New Roman" w:hAnsi="Times New Roman" w:cs="Times New Roman"/>
                <w:sz w:val="24"/>
                <w:szCs w:val="24"/>
                <w:lang w:val="es-419"/>
              </w:rPr>
              <w:t>"  incluye</w:t>
            </w:r>
            <w:proofErr w:type="gramEnd"/>
            <w:r>
              <w:rPr>
                <w:rFonts w:ascii="Times New Roman" w:hAnsi="Times New Roman" w:cs="Times New Roman"/>
                <w:sz w:val="24"/>
                <w:szCs w:val="24"/>
                <w:lang w:val="es-419"/>
              </w:rPr>
              <w:t xml:space="preserve"> análisis de movimientos del sujeto de control.</w:t>
            </w:r>
          </w:p>
          <w:p w14:paraId="48BE0D69"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 xml:space="preserve">PCR-10: "Revisar requisitos técnicos" </w:t>
            </w:r>
          </w:p>
          <w:p w14:paraId="3E155128"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PCR-13 · Fase 1: "Verificar CCITE: sustancia, actividad de distribuidor y cupo disponible</w:t>
            </w:r>
            <w:proofErr w:type="gramStart"/>
            <w:r>
              <w:rPr>
                <w:rFonts w:ascii="Times New Roman" w:hAnsi="Times New Roman" w:cs="Times New Roman"/>
                <w:sz w:val="24"/>
                <w:szCs w:val="24"/>
                <w:lang w:val="es-419"/>
              </w:rPr>
              <w:t>"  requiere</w:t>
            </w:r>
            <w:proofErr w:type="gramEnd"/>
            <w:r>
              <w:rPr>
                <w:rFonts w:ascii="Times New Roman" w:hAnsi="Times New Roman" w:cs="Times New Roman"/>
                <w:sz w:val="24"/>
                <w:szCs w:val="24"/>
                <w:lang w:val="es-419"/>
              </w:rPr>
              <w:t xml:space="preserve"> análisis de movimientos en SICOQ.</w:t>
            </w:r>
          </w:p>
          <w:p w14:paraId="52D74778"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PCR-14 · Fase 2: "Verificar CCITE: sustancia, actividad de importador y cupo disponible"</w:t>
            </w:r>
          </w:p>
        </w:tc>
      </w:tr>
      <w:tr w:rsidR="00E07753" w:rsidRPr="00B722F7" w14:paraId="5BF4B896" w14:textId="77777777" w:rsidTr="00E07753">
        <w:tc>
          <w:tcPr>
            <w:tcW w:w="3118" w:type="dxa"/>
            <w:tcMar>
              <w:top w:w="80" w:type="dxa"/>
              <w:left w:w="120" w:type="dxa"/>
              <w:bottom w:w="80" w:type="dxa"/>
              <w:right w:w="120" w:type="dxa"/>
            </w:tcMar>
          </w:tcPr>
          <w:p w14:paraId="7BA5BC66"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20399423"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El análisis de movimientos se realiza mediante descarga de datos del SICOQ y procesamiento manual con macros Excel. Puede consumir un día completo o más para empresas con múltiples sedes o muchas sustancias. Los técnicos estiman que la automatización nativa en SICOQ reduciría hasta un 50% el tiempo de elaboración de conceptos técnicos por trámite (P27, P28).</w:t>
            </w:r>
          </w:p>
          <w:p w14:paraId="1A000002" w14:textId="50F68D78"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El análisis cuantitativo confirma que el estado Pre-Expedición —donde ocurre la elaboración del concepto técnico— es el cuello más frecuente en Renovación (62.7% de los trámites) y en Primera Vez (34.2%), con medianas de gestión interna de 50 y 62.6 días calendario respectivamente. El Reporte de Tiempos del SICOQ registra la etapa RIJ en el 99.9% de las Renovaciones y en el 99.2% de las Primeras Vez, confirmando cuantitativamente que el cuello se concentra en la fase donde opera el análisis manual de movimientos. La mediana global de gestión interna de Renovación es de 50 días calendario y de Primera Vez 62.6 días, con valores máximos de 326 y 344 días respectivamente</w:t>
            </w:r>
            <w:r w:rsidR="0040423A">
              <w:rPr>
                <w:rFonts w:ascii="Times New Roman" w:hAnsi="Times New Roman" w:cs="Times New Roman"/>
                <w:sz w:val="24"/>
                <w:szCs w:val="24"/>
                <w:lang w:val="es-419"/>
              </w:rPr>
              <w:t>.</w:t>
            </w:r>
          </w:p>
        </w:tc>
      </w:tr>
      <w:tr w:rsidR="00E07753" w:rsidRPr="00B722F7" w14:paraId="07CAF961" w14:textId="77777777" w:rsidTr="00E07753">
        <w:tc>
          <w:tcPr>
            <w:tcW w:w="3118" w:type="dxa"/>
            <w:tcMar>
              <w:top w:w="80" w:type="dxa"/>
              <w:left w:w="120" w:type="dxa"/>
              <w:bottom w:w="80" w:type="dxa"/>
              <w:right w:w="120" w:type="dxa"/>
            </w:tcMar>
          </w:tcPr>
          <w:p w14:paraId="565A4355"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lastRenderedPageBreak/>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5FD602D9"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Separar el paso actual en dos: (A) Generar reporte automático de movimientos SICOQ (ejecutado por el sistema), y (B) Analizar y conceptuar sobre el reporte (ejecutado por el técnico).</w:t>
            </w:r>
          </w:p>
          <w:p w14:paraId="3038190C"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En PCR-13 y PCR-14: el paso "Verificar CCITE" debe incluir la consulta automática del reporte de movimientos, no la descarga y procesamiento manual.</w:t>
            </w:r>
          </w:p>
          <w:p w14:paraId="7325AF82"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Medida transitoria: estandarizar y oficializar la macro Excel existente, controlar versiones y documentar el proceso para transferibilidad al ingresar nuevo personal.</w:t>
            </w:r>
          </w:p>
        </w:tc>
      </w:tr>
      <w:tr w:rsidR="00E07753" w:rsidRPr="00B722F7" w14:paraId="6ADD3E8D" w14:textId="77777777" w:rsidTr="00E07753">
        <w:tc>
          <w:tcPr>
            <w:tcW w:w="3118" w:type="dxa"/>
            <w:tcMar>
              <w:top w:w="80" w:type="dxa"/>
              <w:left w:w="120" w:type="dxa"/>
              <w:bottom w:w="80" w:type="dxa"/>
              <w:right w:w="120" w:type="dxa"/>
            </w:tcMar>
          </w:tcPr>
          <w:p w14:paraId="10CDA820"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3CB79BB5"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Potencial reducción del 50% del tiempo de elaboración de conceptos técnicos SQ, según estimación directa del equipo técnico (P28). Es la oportunidad de mayor impacto cuantitativo para el grupo de Sustancias Químicas.</w:t>
            </w:r>
          </w:p>
        </w:tc>
      </w:tr>
    </w:tbl>
    <w:p w14:paraId="18BB1CA1" w14:textId="77777777" w:rsidR="001D7AB4" w:rsidRPr="001D7AB4" w:rsidRDefault="001D7AB4" w:rsidP="001D7AB4">
      <w:pPr>
        <w:spacing w:before="40" w:after="160"/>
        <w:rPr>
          <w:rFonts w:ascii="Times New Roman" w:hAnsi="Times New Roman" w:cs="Times New Roman"/>
          <w:sz w:val="24"/>
          <w:szCs w:val="24"/>
          <w:lang w:val="es-419"/>
        </w:rPr>
      </w:pPr>
      <w:r w:rsidRPr="001D7AB4">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1D7AB4">
        <w:rPr>
          <w:rFonts w:ascii="Times New Roman" w:hAnsi="Times New Roman" w:cs="Times New Roman"/>
          <w:sz w:val="24"/>
          <w:szCs w:val="24"/>
          <w:lang w:val="es-419"/>
        </w:rPr>
        <w:t>día martes</w:t>
      </w:r>
      <w:proofErr w:type="gramEnd"/>
      <w:r w:rsidRPr="001D7AB4">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confirmó que la respuesta es análoga a la de la oportunidad C-1 para MICC: el desarrollo de un sistema de generación automática del reporte de movimientos en SICOQ, desde el levantamiento de la información con el equipo técnico hasta las pruebas, tomaría entre tres y cuatro meses con dedicación prioritaria. Su identificación en el análisis cuantitativo de cuellos de botella como la oportunidad de mayor impacto para el grupo de Sustancias Químicas fundamenta su consideración como prioritaria en la concertación con los líderes de grupo.</w:t>
      </w:r>
    </w:p>
    <w:p w14:paraId="5D461B50" w14:textId="77777777" w:rsidR="001D7AB4" w:rsidRPr="001D7AB4" w:rsidRDefault="001D7AB4" w:rsidP="001D7AB4">
      <w:pPr>
        <w:spacing w:before="40" w:after="160"/>
        <w:rPr>
          <w:rFonts w:ascii="Times New Roman" w:hAnsi="Times New Roman" w:cs="Times New Roman"/>
          <w:sz w:val="24"/>
          <w:szCs w:val="24"/>
          <w:lang w:val="es-419"/>
        </w:rPr>
      </w:pPr>
      <w:r w:rsidRPr="001D7AB4">
        <w:rPr>
          <w:rFonts w:ascii="Times New Roman" w:hAnsi="Times New Roman" w:cs="Times New Roman"/>
          <w:sz w:val="24"/>
          <w:szCs w:val="24"/>
          <w:lang w:val="es-419"/>
        </w:rPr>
        <w:t>De cara a ello, la oportunidad se incorpora en la versión II de los flujogramas de los procesos PCR-09, PCR-10, PCR-13 y PCR-14 como recomendación estructural. Su incorporación en la versión I quedará sujeta al resultado de la validación con los líderes de grupo en torno a la priorización y disponibilidad del equipo de Sistemas para asumir su desarrollo en el corto plazo.</w:t>
      </w:r>
    </w:p>
    <w:p w14:paraId="44B59238" w14:textId="77777777" w:rsidR="00E07753" w:rsidRPr="00DC0666" w:rsidRDefault="00E07753" w:rsidP="00E07753">
      <w:pPr>
        <w:spacing w:before="40" w:after="160"/>
        <w:rPr>
          <w:rFonts w:ascii="Times New Roman" w:hAnsi="Times New Roman" w:cs="Times New Roman"/>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0E00FF59" w14:textId="77777777" w:rsidTr="00E07753">
        <w:tc>
          <w:tcPr>
            <w:tcW w:w="10080" w:type="dxa"/>
            <w:gridSpan w:val="2"/>
            <w:tcMar>
              <w:top w:w="80" w:type="dxa"/>
              <w:left w:w="120" w:type="dxa"/>
              <w:bottom w:w="80" w:type="dxa"/>
              <w:right w:w="120" w:type="dxa"/>
            </w:tcMar>
          </w:tcPr>
          <w:p w14:paraId="04B756DF" w14:textId="77777777" w:rsidR="00E07753" w:rsidRPr="00DC0666"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S-</w:t>
            </w:r>
            <w:proofErr w:type="gramStart"/>
            <w:r>
              <w:rPr>
                <w:rFonts w:ascii="Times New Roman" w:eastAsia="DM Mono" w:hAnsi="Times New Roman" w:cs="Times New Roman"/>
                <w:b/>
                <w:bCs/>
                <w:sz w:val="24"/>
                <w:szCs w:val="24"/>
                <w:lang w:val="es-419"/>
              </w:rPr>
              <w:t xml:space="preserve">2  </w:t>
            </w:r>
            <w:r>
              <w:rPr>
                <w:rFonts w:ascii="Times New Roman" w:hAnsi="Times New Roman" w:cs="Times New Roman"/>
                <w:b/>
                <w:bCs/>
                <w:sz w:val="24"/>
                <w:szCs w:val="24"/>
                <w:lang w:val="es-419"/>
              </w:rPr>
              <w:t>Introducir</w:t>
            </w:r>
            <w:proofErr w:type="gramEnd"/>
            <w:r>
              <w:rPr>
                <w:rFonts w:ascii="Times New Roman" w:hAnsi="Times New Roman" w:cs="Times New Roman"/>
                <w:b/>
                <w:bCs/>
                <w:sz w:val="24"/>
                <w:szCs w:val="24"/>
                <w:lang w:val="es-419"/>
              </w:rPr>
              <w:t xml:space="preserve"> canal formal de ingreso de mezclas vía SICOQ con filtro automático de no aplicables</w:t>
            </w:r>
          </w:p>
          <w:p w14:paraId="088C6B67" w14:textId="2C2EFBAD" w:rsidR="00705B25" w:rsidRPr="00FB1943" w:rsidRDefault="00E07753" w:rsidP="00FB1943">
            <w:pPr>
              <w:spacing w:after="60"/>
              <w:jc w:val="center"/>
              <w:rPr>
                <w:rFonts w:ascii="Times New Roman" w:hAnsi="Times New Roman" w:cs="Times New Roman"/>
                <w:b/>
                <w:bCs/>
                <w:sz w:val="24"/>
                <w:szCs w:val="24"/>
                <w:lang w:val="es-419"/>
              </w:rPr>
            </w:pPr>
            <w:proofErr w:type="gramStart"/>
            <w:r w:rsidRPr="00B722F7">
              <w:rPr>
                <w:rFonts w:ascii="Times New Roman" w:hAnsi="Times New Roman" w:cs="Times New Roman"/>
                <w:b/>
                <w:bCs/>
                <w:sz w:val="24"/>
                <w:szCs w:val="24"/>
                <w:lang w:val="es-419"/>
              </w:rPr>
              <w:t>SQ  ·</w:t>
            </w:r>
            <w:proofErr w:type="gramEnd"/>
            <w:r w:rsidRPr="00B722F7">
              <w:rPr>
                <w:rFonts w:ascii="Times New Roman" w:hAnsi="Times New Roman" w:cs="Times New Roman"/>
                <w:b/>
                <w:bCs/>
                <w:sz w:val="24"/>
                <w:szCs w:val="24"/>
                <w:lang w:val="es-419"/>
              </w:rPr>
              <w:t xml:space="preserve">  PCR-25 </w:t>
            </w:r>
          </w:p>
        </w:tc>
      </w:tr>
      <w:tr w:rsidR="00E07753" w:rsidRPr="00B722F7" w14:paraId="3CAD631C" w14:textId="77777777" w:rsidTr="00E07753">
        <w:tc>
          <w:tcPr>
            <w:tcW w:w="3118" w:type="dxa"/>
            <w:tcMar>
              <w:top w:w="80" w:type="dxa"/>
              <w:left w:w="120" w:type="dxa"/>
              <w:bottom w:w="80" w:type="dxa"/>
              <w:right w:w="120" w:type="dxa"/>
            </w:tcMar>
          </w:tcPr>
          <w:p w14:paraId="5750C442"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50860A64"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 xml:space="preserve">PCR-25 · Paso 01: "Radicar solicitud de concepto técnico de mezclas" llega por SGDEA o correo electrónico, no por SICOQ. </w:t>
            </w:r>
          </w:p>
          <w:p w14:paraId="4149862E"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PCR-25 · Decisión: "¿La mezcla tiene SQC?"  esta clasificación ocurre después de que el centralizador ya recibió y distribuyó la solicitud.</w:t>
            </w:r>
          </w:p>
        </w:tc>
      </w:tr>
      <w:tr w:rsidR="00E07753" w:rsidRPr="00B722F7" w14:paraId="770608CD" w14:textId="77777777" w:rsidTr="00E07753">
        <w:tc>
          <w:tcPr>
            <w:tcW w:w="3118" w:type="dxa"/>
            <w:tcMar>
              <w:top w:w="80" w:type="dxa"/>
              <w:left w:w="120" w:type="dxa"/>
              <w:bottom w:w="80" w:type="dxa"/>
              <w:right w:w="120" w:type="dxa"/>
            </w:tcMar>
          </w:tcPr>
          <w:p w14:paraId="62BFFF30"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7AADC25B"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Las solicitudes de conceptos técnicos de mezclas ingresan por SGDEA o correo, lo que impide el filtrado automatizado de solicitudes no aplicables antes de su asignación a un profesional </w:t>
            </w:r>
            <w:r>
              <w:rPr>
                <w:rFonts w:ascii="Times New Roman" w:hAnsi="Times New Roman" w:cs="Times New Roman"/>
                <w:sz w:val="24"/>
                <w:szCs w:val="24"/>
                <w:lang w:val="es-419"/>
              </w:rPr>
              <w:lastRenderedPageBreak/>
              <w:t>(P27). El equipo técnico SQ con 80–100 radicados mensuales no tiene mecanismo para descartar automáticamente solicitudes sin SQC o ya conceptuadas (P67).</w:t>
            </w:r>
          </w:p>
          <w:p w14:paraId="1A000003" w14:textId="27A7D5C3"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El análisis cuantitativo de </w:t>
            </w:r>
            <w:proofErr w:type="spellStart"/>
            <w:r w:rsidR="0040423A">
              <w:rPr>
                <w:rFonts w:ascii="Times New Roman" w:hAnsi="Times New Roman" w:cs="Times New Roman"/>
                <w:sz w:val="24"/>
                <w:szCs w:val="24"/>
                <w:lang w:val="es-419"/>
              </w:rPr>
              <w:t>ExtraOrdinarios</w:t>
            </w:r>
            <w:proofErr w:type="spellEnd"/>
            <w:r w:rsidR="0040423A">
              <w:rPr>
                <w:rFonts w:ascii="Times New Roman" w:hAnsi="Times New Roman" w:cs="Times New Roman"/>
                <w:sz w:val="24"/>
                <w:szCs w:val="24"/>
                <w:lang w:val="es-419"/>
              </w:rPr>
              <w:t xml:space="preserve"> muestra</w:t>
            </w:r>
            <w:r>
              <w:rPr>
                <w:rFonts w:ascii="Times New Roman" w:hAnsi="Times New Roman" w:cs="Times New Roman"/>
                <w:sz w:val="24"/>
                <w:szCs w:val="24"/>
                <w:lang w:val="es-419"/>
              </w:rPr>
              <w:t xml:space="preserve"> que el estado Creada concentra el 12.2% de los trámites como cuello de botella: solicitudes que permanecen sin asignar desde el momento de creación. Un canal formal con filtros automáticos en SICOQ eliminaría este tiempo improductivo antes de que la solicitud llegue al técnico, reduciendo directamente ese 12.2% de trámites represados en la entrada del flujo</w:t>
            </w:r>
            <w:r w:rsidR="0040423A">
              <w:rPr>
                <w:rFonts w:ascii="Times New Roman" w:hAnsi="Times New Roman" w:cs="Times New Roman"/>
                <w:sz w:val="24"/>
                <w:szCs w:val="24"/>
                <w:lang w:val="es-419"/>
              </w:rPr>
              <w:t>.</w:t>
            </w:r>
          </w:p>
        </w:tc>
      </w:tr>
      <w:tr w:rsidR="00E07753" w:rsidRPr="00B722F7" w14:paraId="4D8CE584" w14:textId="77777777" w:rsidTr="00E07753">
        <w:tc>
          <w:tcPr>
            <w:tcW w:w="3118" w:type="dxa"/>
            <w:tcMar>
              <w:top w:w="80" w:type="dxa"/>
              <w:left w:w="120" w:type="dxa"/>
              <w:bottom w:w="80" w:type="dxa"/>
              <w:right w:w="120" w:type="dxa"/>
            </w:tcMar>
          </w:tcPr>
          <w:p w14:paraId="3D8CA878"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lastRenderedPageBreak/>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5827D125"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Añadir como paso previo al flujo actual: radicación obligatoria vía SICOQ. SICOQ ejecuta automáticamente dos filtros: (1) ¿La mezcla incluye SQC? y (2) ¿Ya fue conceptuada (base de datos)? solo si cumple ambos, pasa al centralizador.</w:t>
            </w:r>
          </w:p>
          <w:p w14:paraId="0A8F5236"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Para solicitudes sin SQC: SICOQ emite automáticamente respuesta al usuario (la decisión ya existe en el flujo; se adelanta al punto de entrada).</w:t>
            </w:r>
          </w:p>
          <w:p w14:paraId="375185F5"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Para mezclas ya conceptuadas: SICOQ referencia automáticamente el concepto previo, sin reasignar al técnico.</w:t>
            </w:r>
          </w:p>
        </w:tc>
      </w:tr>
      <w:tr w:rsidR="00E07753" w:rsidRPr="00B722F7" w14:paraId="5101BEC1" w14:textId="77777777" w:rsidTr="00E07753">
        <w:tc>
          <w:tcPr>
            <w:tcW w:w="3118" w:type="dxa"/>
            <w:tcMar>
              <w:top w:w="80" w:type="dxa"/>
              <w:left w:w="120" w:type="dxa"/>
              <w:bottom w:w="80" w:type="dxa"/>
              <w:right w:w="120" w:type="dxa"/>
            </w:tcMar>
          </w:tcPr>
          <w:p w14:paraId="314DC6CE"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0FD09C1D"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Reduce el volumen de solicitudes que llegan al técnico.</w:t>
            </w:r>
          </w:p>
        </w:tc>
      </w:tr>
    </w:tbl>
    <w:p w14:paraId="35F0E8C2" w14:textId="77777777" w:rsidR="00FB1943" w:rsidRPr="00FB1943" w:rsidRDefault="00FB1943" w:rsidP="00FB1943">
      <w:pPr>
        <w:spacing w:before="40" w:after="160"/>
        <w:rPr>
          <w:rFonts w:ascii="Times New Roman" w:hAnsi="Times New Roman" w:cs="Times New Roman"/>
          <w:sz w:val="24"/>
          <w:szCs w:val="24"/>
          <w:lang w:val="es-419"/>
        </w:rPr>
      </w:pPr>
      <w:r w:rsidRPr="00FB1943">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FB1943">
        <w:rPr>
          <w:rFonts w:ascii="Times New Roman" w:hAnsi="Times New Roman" w:cs="Times New Roman"/>
          <w:sz w:val="24"/>
          <w:szCs w:val="24"/>
          <w:lang w:val="es-419"/>
        </w:rPr>
        <w:t>día martes</w:t>
      </w:r>
      <w:proofErr w:type="gramEnd"/>
      <w:r w:rsidRPr="00FB1943">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confirmó que, aunque el desarrollo fue considerado en algún momento por el grupo de Sistemas, no ha sido ejecutado por haber quedado desplazado por otras prioridades. El líder del equipo de Sistemas advirtió que se trata de un módulo completo de mediano a largo plazo, que implicaría desarrollar un flujo de radicación desde el usuario externo hasta el ingeniero químico, con sus respectivas validaciones y rutas de decisión. Se reconoce además la complejidad técnica adicional que supone el hecho de que una mezcla que no contenga individualmente sustancias químicas controladas podría sí requerirlas en su composición final, lo que condiciona la posibilidad de automatizar completamente el filtro propuesto.</w:t>
      </w:r>
    </w:p>
    <w:p w14:paraId="761E39C8" w14:textId="77777777" w:rsidR="00FB1943" w:rsidRPr="00FB1943" w:rsidRDefault="00FB1943" w:rsidP="00FB1943">
      <w:pPr>
        <w:spacing w:before="40" w:after="160"/>
        <w:rPr>
          <w:rFonts w:ascii="Times New Roman" w:hAnsi="Times New Roman" w:cs="Times New Roman"/>
          <w:sz w:val="24"/>
          <w:szCs w:val="24"/>
          <w:lang w:val="es-419"/>
        </w:rPr>
      </w:pPr>
      <w:r w:rsidRPr="00FB1943">
        <w:rPr>
          <w:rFonts w:ascii="Times New Roman" w:hAnsi="Times New Roman" w:cs="Times New Roman"/>
          <w:sz w:val="24"/>
          <w:szCs w:val="24"/>
          <w:lang w:val="es-419"/>
        </w:rPr>
        <w:t>De cara a ello, la oportunidad se incorpora únicamente en la versión II de los flujogramas del proceso PCR-25, como recomendación a considerar en el rediseño estructural de SICOQ.</w:t>
      </w:r>
    </w:p>
    <w:p w14:paraId="4AFFD11F" w14:textId="77777777" w:rsidR="00E07753" w:rsidRPr="00DC0666" w:rsidRDefault="00E07753" w:rsidP="00E07753">
      <w:pPr>
        <w:spacing w:before="40" w:after="160"/>
        <w:rPr>
          <w:rFonts w:ascii="Times New Roman" w:hAnsi="Times New Roman" w:cs="Times New Roman"/>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1230755C" w14:textId="77777777" w:rsidTr="00E07753">
        <w:tc>
          <w:tcPr>
            <w:tcW w:w="10080" w:type="dxa"/>
            <w:gridSpan w:val="2"/>
            <w:tcMar>
              <w:top w:w="80" w:type="dxa"/>
              <w:left w:w="120" w:type="dxa"/>
              <w:bottom w:w="80" w:type="dxa"/>
              <w:right w:w="120" w:type="dxa"/>
            </w:tcMar>
          </w:tcPr>
          <w:p w14:paraId="53067863" w14:textId="77777777" w:rsidR="00E07753" w:rsidRPr="00DC0666"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S-</w:t>
            </w:r>
            <w:proofErr w:type="gramStart"/>
            <w:r>
              <w:rPr>
                <w:rFonts w:ascii="Times New Roman" w:eastAsia="DM Mono" w:hAnsi="Times New Roman" w:cs="Times New Roman"/>
                <w:b/>
                <w:bCs/>
                <w:sz w:val="24"/>
                <w:szCs w:val="24"/>
                <w:lang w:val="es-419"/>
              </w:rPr>
              <w:t xml:space="preserve">3  </w:t>
            </w:r>
            <w:r>
              <w:rPr>
                <w:rFonts w:ascii="Times New Roman" w:hAnsi="Times New Roman" w:cs="Times New Roman"/>
                <w:b/>
                <w:bCs/>
                <w:sz w:val="24"/>
                <w:szCs w:val="24"/>
                <w:lang w:val="es-419"/>
              </w:rPr>
              <w:t>Formalizar</w:t>
            </w:r>
            <w:proofErr w:type="gramEnd"/>
            <w:r>
              <w:rPr>
                <w:rFonts w:ascii="Times New Roman" w:hAnsi="Times New Roman" w:cs="Times New Roman"/>
                <w:b/>
                <w:bCs/>
                <w:sz w:val="24"/>
                <w:szCs w:val="24"/>
                <w:lang w:val="es-419"/>
              </w:rPr>
              <w:t xml:space="preserve"> e integrar la base de datos de conceptos técnicos de mezclas en SICOQ</w:t>
            </w:r>
          </w:p>
          <w:p w14:paraId="3A455DE9" w14:textId="419C8F3C" w:rsidR="00705B25" w:rsidRPr="00FB1943" w:rsidRDefault="00E07753" w:rsidP="00FB1943">
            <w:pPr>
              <w:spacing w:after="60"/>
              <w:jc w:val="center"/>
              <w:rPr>
                <w:rFonts w:ascii="Times New Roman" w:hAnsi="Times New Roman" w:cs="Times New Roman"/>
                <w:b/>
                <w:bCs/>
                <w:sz w:val="24"/>
                <w:szCs w:val="24"/>
                <w:lang w:val="es-419"/>
              </w:rPr>
            </w:pPr>
            <w:proofErr w:type="gramStart"/>
            <w:r w:rsidRPr="00B722F7">
              <w:rPr>
                <w:rFonts w:ascii="Times New Roman" w:hAnsi="Times New Roman" w:cs="Times New Roman"/>
                <w:b/>
                <w:bCs/>
                <w:sz w:val="24"/>
                <w:szCs w:val="24"/>
                <w:lang w:val="es-419"/>
              </w:rPr>
              <w:t>SQ  ·</w:t>
            </w:r>
            <w:proofErr w:type="gramEnd"/>
            <w:r w:rsidRPr="00B722F7">
              <w:rPr>
                <w:rFonts w:ascii="Times New Roman" w:hAnsi="Times New Roman" w:cs="Times New Roman"/>
                <w:b/>
                <w:bCs/>
                <w:sz w:val="24"/>
                <w:szCs w:val="24"/>
                <w:lang w:val="es-419"/>
              </w:rPr>
              <w:t xml:space="preserve">  PCR-25 </w:t>
            </w:r>
          </w:p>
        </w:tc>
      </w:tr>
      <w:tr w:rsidR="00E07753" w:rsidRPr="00B722F7" w14:paraId="66DFFDBB" w14:textId="77777777" w:rsidTr="00E07753">
        <w:tc>
          <w:tcPr>
            <w:tcW w:w="3118" w:type="dxa"/>
            <w:tcMar>
              <w:top w:w="80" w:type="dxa"/>
              <w:left w:w="120" w:type="dxa"/>
              <w:bottom w:w="80" w:type="dxa"/>
              <w:right w:w="120" w:type="dxa"/>
            </w:tcMar>
          </w:tcPr>
          <w:p w14:paraId="6813095C"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3D5AFE71"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 xml:space="preserve">PCR-25 · Decisión: "¿La mezcla ya fue conceptuada previamente? (base de datos interna)" este paso ya existe en el flujograma, pero la </w:t>
            </w:r>
            <w:r>
              <w:rPr>
                <w:rFonts w:ascii="Times New Roman" w:hAnsi="Times New Roman" w:cs="Times New Roman"/>
                <w:sz w:val="24"/>
                <w:szCs w:val="24"/>
                <w:lang w:val="es-419"/>
              </w:rPr>
              <w:lastRenderedPageBreak/>
              <w:t>base de datos que consulta es informal, mantenida por técnicos individuales, no integrada a SICOQ.</w:t>
            </w:r>
          </w:p>
        </w:tc>
      </w:tr>
      <w:tr w:rsidR="00E07753" w:rsidRPr="00B722F7" w14:paraId="66D7E79E" w14:textId="77777777" w:rsidTr="00E07753">
        <w:tc>
          <w:tcPr>
            <w:tcW w:w="3118" w:type="dxa"/>
            <w:tcMar>
              <w:top w:w="80" w:type="dxa"/>
              <w:left w:w="120" w:type="dxa"/>
              <w:bottom w:w="80" w:type="dxa"/>
              <w:right w:w="120" w:type="dxa"/>
            </w:tcMar>
          </w:tcPr>
          <w:p w14:paraId="3A15D01E"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lastRenderedPageBreak/>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71DDD8ED"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La base de datos de conceptos técnicos de mezclas evaluados es mencionada explícitamente como una de las categorías que opera en Excel/OneDrive compartido. El riesgo de integridad de bases con acceso de edición múltiple está documentado (P53).</w:t>
            </w:r>
          </w:p>
          <w:p w14:paraId="1A000004" w14:textId="486E3E6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La muestra cuantitativa de </w:t>
            </w:r>
            <w:proofErr w:type="spellStart"/>
            <w:r>
              <w:rPr>
                <w:rFonts w:ascii="Times New Roman" w:hAnsi="Times New Roman" w:cs="Times New Roman"/>
                <w:sz w:val="24"/>
                <w:szCs w:val="24"/>
                <w:lang w:val="es-419"/>
              </w:rPr>
              <w:t>ExtraOrdinarios</w:t>
            </w:r>
            <w:proofErr w:type="spellEnd"/>
            <w:r>
              <w:rPr>
                <w:rFonts w:ascii="Times New Roman" w:hAnsi="Times New Roman" w:cs="Times New Roman"/>
                <w:sz w:val="24"/>
                <w:szCs w:val="24"/>
                <w:lang w:val="es-419"/>
              </w:rPr>
              <w:t xml:space="preserve"> exhibe una dispersión muy alta: mediana interna de 15.2 días calendario frente a un máximo de 190.2 días. Esta varianza extrema sugiere que cuando existe un precedente documentado el trámite se resuelve en pocos días, pero cuando no hay referencia el proceso se alarga considerablemente. Formalizar la base de datos como módulo de consulta en SICOQ reduciría directamente la proporción de casos sin precedente que generan el extremo superior de esa distribución</w:t>
            </w:r>
            <w:r w:rsidR="0040423A">
              <w:rPr>
                <w:rFonts w:ascii="Times New Roman" w:hAnsi="Times New Roman" w:cs="Times New Roman"/>
                <w:sz w:val="24"/>
                <w:szCs w:val="24"/>
                <w:lang w:val="es-419"/>
              </w:rPr>
              <w:t>.</w:t>
            </w:r>
          </w:p>
        </w:tc>
      </w:tr>
      <w:tr w:rsidR="00E07753" w:rsidRPr="00B722F7" w14:paraId="324FC97B" w14:textId="77777777" w:rsidTr="00E07753">
        <w:tc>
          <w:tcPr>
            <w:tcW w:w="3118" w:type="dxa"/>
            <w:tcMar>
              <w:top w:w="80" w:type="dxa"/>
              <w:left w:w="120" w:type="dxa"/>
              <w:bottom w:w="80" w:type="dxa"/>
              <w:right w:w="120" w:type="dxa"/>
            </w:tcMar>
          </w:tcPr>
          <w:p w14:paraId="03DD8B6B"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653A3460"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Inmediato: oficializar la base de datos existente como documento institucional: asignar responsable de actualización, permisos de solo lectura para no responsables, vincular al número de SICOQ del concepto emitido.</w:t>
            </w:r>
          </w:p>
          <w:p w14:paraId="04F84309"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Mediano plazo: integrar la base de datos como módulo de consulta en SICOQ — el paso "¿La mezcla ya fue conceptuada?" se convierte en consulta automática al sistema, no manual a un archivo externo.</w:t>
            </w:r>
          </w:p>
          <w:p w14:paraId="433062EC"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Actualizar el flujograma para hacer explícita la fuente de la consulta y el responsable de mantener el registro actualizado después de cada nuevo concepto.</w:t>
            </w:r>
          </w:p>
        </w:tc>
      </w:tr>
      <w:tr w:rsidR="00E07753" w:rsidRPr="00B722F7" w14:paraId="696E5592" w14:textId="77777777" w:rsidTr="00E07753">
        <w:tc>
          <w:tcPr>
            <w:tcW w:w="3118" w:type="dxa"/>
            <w:tcMar>
              <w:top w:w="80" w:type="dxa"/>
              <w:left w:w="120" w:type="dxa"/>
              <w:bottom w:w="80" w:type="dxa"/>
              <w:right w:w="120" w:type="dxa"/>
            </w:tcMar>
          </w:tcPr>
          <w:p w14:paraId="39F1540B"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7A31F419"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Evita que el mismo concepto técnico sea elaborado múltiples veces para la misma mezcla. Preserva conocimiento técnico </w:t>
            </w:r>
            <w:proofErr w:type="gramStart"/>
            <w:r>
              <w:rPr>
                <w:rFonts w:ascii="Times New Roman" w:hAnsi="Times New Roman" w:cs="Times New Roman"/>
                <w:sz w:val="24"/>
                <w:szCs w:val="24"/>
                <w:lang w:val="es-419"/>
              </w:rPr>
              <w:t>institucional</w:t>
            </w:r>
            <w:proofErr w:type="gramEnd"/>
            <w:r>
              <w:rPr>
                <w:rFonts w:ascii="Times New Roman" w:hAnsi="Times New Roman" w:cs="Times New Roman"/>
                <w:sz w:val="24"/>
                <w:szCs w:val="24"/>
                <w:lang w:val="es-419"/>
              </w:rPr>
              <w:t xml:space="preserve"> aunque cambien los técnicos. Reduce riesgo de criterios inconsistentes entre conceptos para la misma mezcla.</w:t>
            </w:r>
          </w:p>
        </w:tc>
      </w:tr>
    </w:tbl>
    <w:p w14:paraId="28622C42" w14:textId="77777777" w:rsidR="00FB1943" w:rsidRPr="00FB1943" w:rsidRDefault="00FB1943" w:rsidP="00FB1943">
      <w:pPr>
        <w:spacing w:before="40" w:after="160"/>
        <w:rPr>
          <w:rFonts w:ascii="Times New Roman" w:hAnsi="Times New Roman" w:cs="Times New Roman"/>
          <w:sz w:val="24"/>
          <w:szCs w:val="24"/>
          <w:lang w:val="es-419"/>
        </w:rPr>
      </w:pPr>
      <w:r w:rsidRPr="00FB1943">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FB1943">
        <w:rPr>
          <w:rFonts w:ascii="Times New Roman" w:hAnsi="Times New Roman" w:cs="Times New Roman"/>
          <w:sz w:val="24"/>
          <w:szCs w:val="24"/>
          <w:lang w:val="es-419"/>
        </w:rPr>
        <w:t>día martes</w:t>
      </w:r>
      <w:proofErr w:type="gramEnd"/>
      <w:r w:rsidRPr="00FB1943">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confirmó la viabilidad de implementar un repositorio de conceptos técnicos en SICOQ, diferenciado de un módulo de consulta integrada al flujo del trámite. El repositorio permitiría almacenar los conceptos emitidos con campos de búsqueda por empresa, NIT u otros criterios relevantes, ofreciendo una solución más robusta e institucional que el archivo Excel o OneDrive compartido actualmente en uso. El líder del equipo de Sistemas estimó que, con máxima prioridad, el repositorio podría desarrollarse en un plazo de dos a tres meses.</w:t>
      </w:r>
    </w:p>
    <w:p w14:paraId="48D5B0DC" w14:textId="4CDA6EAE" w:rsidR="00E07753" w:rsidRPr="00FB1943" w:rsidRDefault="00FB1943" w:rsidP="00E07753">
      <w:pPr>
        <w:spacing w:before="40" w:after="160"/>
        <w:rPr>
          <w:rFonts w:ascii="Times New Roman" w:hAnsi="Times New Roman" w:cs="Times New Roman"/>
          <w:sz w:val="24"/>
          <w:szCs w:val="24"/>
          <w:lang w:val="es-419"/>
        </w:rPr>
      </w:pPr>
      <w:r w:rsidRPr="00FB1943">
        <w:rPr>
          <w:rFonts w:ascii="Times New Roman" w:hAnsi="Times New Roman" w:cs="Times New Roman"/>
          <w:sz w:val="24"/>
          <w:szCs w:val="24"/>
          <w:lang w:val="es-419"/>
        </w:rPr>
        <w:t>De cara a ello, la formalización e implementación del repositorio de conceptos técnicos en SICOQ se incorpora en la versión I del flujograma del proceso PCR-25, reconociendo su viabilidad de corto plazo.</w:t>
      </w:r>
      <w:r>
        <w:rPr>
          <w:rFonts w:ascii="Times New Roman" w:hAnsi="Times New Roman" w:cs="Times New Roman"/>
          <w:sz w:val="24"/>
          <w:szCs w:val="24"/>
          <w:lang w:val="es-419"/>
        </w:rPr>
        <w:t xml:space="preserve"> </w:t>
      </w:r>
      <w:r w:rsidRPr="00FB1943">
        <w:rPr>
          <w:rFonts w:ascii="Times New Roman" w:hAnsi="Times New Roman" w:cs="Times New Roman"/>
          <w:sz w:val="24"/>
          <w:szCs w:val="24"/>
          <w:lang w:val="es-419"/>
        </w:rPr>
        <w:t xml:space="preserve">La integración del repositorio como módulo de consulta automático </w:t>
      </w:r>
      <w:r w:rsidRPr="00FB1943">
        <w:rPr>
          <w:rFonts w:ascii="Times New Roman" w:hAnsi="Times New Roman" w:cs="Times New Roman"/>
          <w:sz w:val="24"/>
          <w:szCs w:val="24"/>
          <w:lang w:val="es-419"/>
        </w:rPr>
        <w:lastRenderedPageBreak/>
        <w:t>dentro del flujo —donde el paso "¿La mezcla ya fue conceptuada?" se ejecuta como consulta directa al sistema y no como revisión manual de un archivo externo— se incorpora en la versión II como recomendación de rediseño estructural.</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0883DEEC" w14:textId="77777777" w:rsidTr="00E07753">
        <w:tc>
          <w:tcPr>
            <w:tcW w:w="10080" w:type="dxa"/>
            <w:gridSpan w:val="2"/>
            <w:tcMar>
              <w:top w:w="80" w:type="dxa"/>
              <w:left w:w="120" w:type="dxa"/>
              <w:bottom w:w="80" w:type="dxa"/>
              <w:right w:w="120" w:type="dxa"/>
            </w:tcMar>
          </w:tcPr>
          <w:p w14:paraId="48EEB433" w14:textId="040CF380" w:rsidR="00705B25" w:rsidRPr="00FB1943" w:rsidRDefault="00E07753" w:rsidP="00FB1943">
            <w:pPr>
              <w:jc w:val="center"/>
              <w:rPr>
                <w:rFonts w:ascii="Times New Roman" w:hAnsi="Times New Roman" w:cs="Times New Roman"/>
                <w:b/>
                <w:bCs/>
                <w:sz w:val="24"/>
                <w:szCs w:val="24"/>
                <w:lang w:val="es-419"/>
              </w:rPr>
            </w:pPr>
            <w:r w:rsidRPr="00A519FC">
              <w:rPr>
                <w:rFonts w:ascii="Times New Roman" w:eastAsia="DM Mono" w:hAnsi="Times New Roman" w:cs="Times New Roman"/>
                <w:b/>
                <w:bCs/>
                <w:sz w:val="24"/>
                <w:szCs w:val="24"/>
                <w:lang w:val="es-419"/>
              </w:rPr>
              <w:t>S-</w:t>
            </w:r>
            <w:proofErr w:type="gramStart"/>
            <w:r w:rsidRPr="00A519FC">
              <w:rPr>
                <w:rFonts w:ascii="Times New Roman" w:eastAsia="DM Mono" w:hAnsi="Times New Roman" w:cs="Times New Roman"/>
                <w:b/>
                <w:bCs/>
                <w:sz w:val="24"/>
                <w:szCs w:val="24"/>
                <w:lang w:val="es-419"/>
              </w:rPr>
              <w:t xml:space="preserve">4  </w:t>
            </w:r>
            <w:r w:rsidRPr="00A519FC">
              <w:rPr>
                <w:rFonts w:ascii="Times New Roman" w:hAnsi="Times New Roman" w:cs="Times New Roman"/>
                <w:b/>
                <w:bCs/>
                <w:sz w:val="24"/>
                <w:szCs w:val="24"/>
                <w:lang w:val="es-419"/>
              </w:rPr>
              <w:t>Vincular</w:t>
            </w:r>
            <w:proofErr w:type="gramEnd"/>
            <w:r w:rsidRPr="00A519FC">
              <w:rPr>
                <w:rFonts w:ascii="Times New Roman" w:hAnsi="Times New Roman" w:cs="Times New Roman"/>
                <w:b/>
                <w:bCs/>
                <w:sz w:val="24"/>
                <w:szCs w:val="24"/>
                <w:lang w:val="es-419"/>
              </w:rPr>
              <w:t xml:space="preserve"> automáticamente radicados SGDEA a expedientes SICOQ para eliminar búsquedas cruzadas </w:t>
            </w:r>
            <w:proofErr w:type="gramStart"/>
            <w:r w:rsidRPr="00A519FC">
              <w:rPr>
                <w:rFonts w:ascii="Times New Roman" w:hAnsi="Times New Roman" w:cs="Times New Roman"/>
                <w:b/>
                <w:bCs/>
                <w:sz w:val="24"/>
                <w:szCs w:val="24"/>
                <w:lang w:val="es-419"/>
              </w:rPr>
              <w:t>SQ  ·</w:t>
            </w:r>
            <w:proofErr w:type="gramEnd"/>
            <w:r w:rsidRPr="00A519FC">
              <w:rPr>
                <w:rFonts w:ascii="Times New Roman" w:hAnsi="Times New Roman" w:cs="Times New Roman"/>
                <w:b/>
                <w:bCs/>
                <w:sz w:val="24"/>
                <w:szCs w:val="24"/>
                <w:lang w:val="es-419"/>
              </w:rPr>
              <w:t xml:space="preserve">  PCR-09, PCR-10, PCR-26</w:t>
            </w:r>
            <w:r w:rsidR="00A519FC" w:rsidRPr="00A519FC">
              <w:rPr>
                <w:rFonts w:ascii="Times New Roman" w:hAnsi="Times New Roman" w:cs="Times New Roman"/>
                <w:b/>
                <w:bCs/>
                <w:sz w:val="24"/>
                <w:szCs w:val="24"/>
                <w:lang w:val="es-419"/>
              </w:rPr>
              <w:t xml:space="preserve"> </w:t>
            </w:r>
          </w:p>
        </w:tc>
      </w:tr>
      <w:tr w:rsidR="00E07753" w:rsidRPr="00B722F7" w14:paraId="3DED3C77" w14:textId="77777777" w:rsidTr="00E07753">
        <w:tc>
          <w:tcPr>
            <w:tcW w:w="3118" w:type="dxa"/>
            <w:tcMar>
              <w:top w:w="80" w:type="dxa"/>
              <w:left w:w="120" w:type="dxa"/>
              <w:bottom w:w="80" w:type="dxa"/>
              <w:right w:w="120" w:type="dxa"/>
            </w:tcMar>
          </w:tcPr>
          <w:p w14:paraId="460BC7C5"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4CFBA7B5"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PCR-09: "Recibir y distribuir la solicitud" llega por SGDEA; el profesional debe buscar manualmente el expediente SICOQ correspondiente.</w:t>
            </w:r>
          </w:p>
          <w:p w14:paraId="6D5DAE1B"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PCR-26: "Cargar certificación de notificación" el certificado postal (4-72) llega a SGDEA y debe vincularse manualmente al expediente SICOQ.</w:t>
            </w:r>
          </w:p>
        </w:tc>
      </w:tr>
      <w:tr w:rsidR="00E07753" w:rsidRPr="00B722F7" w14:paraId="6E12188B" w14:textId="77777777" w:rsidTr="00E07753">
        <w:tc>
          <w:tcPr>
            <w:tcW w:w="3118" w:type="dxa"/>
            <w:tcMar>
              <w:top w:w="80" w:type="dxa"/>
              <w:left w:w="120" w:type="dxa"/>
              <w:bottom w:w="80" w:type="dxa"/>
              <w:right w:w="120" w:type="dxa"/>
            </w:tcMar>
          </w:tcPr>
          <w:p w14:paraId="51358868"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0DBEDC32"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Las PQRS registradas en SGDEA no están vinculadas automáticamente a los expedientes en SICOQ, obligando a búsquedas cruzadas manuales y generando trazabilidad fragmentada (P27). Los certificados de notificación postales no están integrados al SGDEA. Para reconstruir el historial de un trámite hay que consultar sistema, correos, OneDrive y cuadernos (P69).</w:t>
            </w:r>
          </w:p>
          <w:p w14:paraId="1A000005" w14:textId="7A463484"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En Sustitución —tipología con mayor fragmentación de registros por cambios de sede— los estados En Trámite Asignada (29.3% de trámites) y En Trámite (25.3%) concentran el 54.6% de los cuellos, con una mediana de gestión interna de 92.3 días calendario, la más alta de todas las tipologías. En Primera Vez, la Verificación </w:t>
            </w:r>
            <w:proofErr w:type="spellStart"/>
            <w:r>
              <w:rPr>
                <w:rFonts w:ascii="Times New Roman" w:hAnsi="Times New Roman" w:cs="Times New Roman"/>
                <w:sz w:val="24"/>
                <w:szCs w:val="24"/>
                <w:lang w:val="es-419"/>
              </w:rPr>
              <w:t>Req</w:t>
            </w:r>
            <w:proofErr w:type="spellEnd"/>
            <w:r>
              <w:rPr>
                <w:rFonts w:ascii="Times New Roman" w:hAnsi="Times New Roman" w:cs="Times New Roman"/>
                <w:sz w:val="24"/>
                <w:szCs w:val="24"/>
                <w:lang w:val="es-419"/>
              </w:rPr>
              <w:t>. Generales aparece como cuello en el 13.7% de los trámites, coherente con el tiempo adicional que implica localizar y vincular documentos dispersos entre sistemas. La triangulación entre encuesta y análisis cuantitativo confirma que la desconexión SGDEA–SICOQ es una causa estructural de la acumulació</w:t>
            </w:r>
            <w:r w:rsidR="0040423A">
              <w:rPr>
                <w:rFonts w:ascii="Times New Roman" w:hAnsi="Times New Roman" w:cs="Times New Roman"/>
                <w:sz w:val="24"/>
                <w:szCs w:val="24"/>
                <w:lang w:val="es-419"/>
              </w:rPr>
              <w:t>n.</w:t>
            </w:r>
          </w:p>
        </w:tc>
      </w:tr>
      <w:tr w:rsidR="00E07753" w:rsidRPr="00B722F7" w14:paraId="26CCB09A" w14:textId="77777777" w:rsidTr="00E07753">
        <w:tc>
          <w:tcPr>
            <w:tcW w:w="3118" w:type="dxa"/>
            <w:tcMar>
              <w:top w:w="80" w:type="dxa"/>
              <w:left w:w="120" w:type="dxa"/>
              <w:bottom w:w="80" w:type="dxa"/>
              <w:right w:w="120" w:type="dxa"/>
            </w:tcMar>
          </w:tcPr>
          <w:p w14:paraId="4744770B"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2897C63A"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 xml:space="preserve">Añadir en los pasos de distribución de todos los procesos SQ el </w:t>
            </w:r>
            <w:proofErr w:type="spellStart"/>
            <w:r>
              <w:rPr>
                <w:rFonts w:ascii="Times New Roman" w:hAnsi="Times New Roman" w:cs="Times New Roman"/>
                <w:sz w:val="24"/>
                <w:szCs w:val="24"/>
                <w:lang w:val="es-419"/>
              </w:rPr>
              <w:t>sub-paso</w:t>
            </w:r>
            <w:proofErr w:type="spellEnd"/>
            <w:r>
              <w:rPr>
                <w:rFonts w:ascii="Times New Roman" w:hAnsi="Times New Roman" w:cs="Times New Roman"/>
                <w:sz w:val="24"/>
                <w:szCs w:val="24"/>
                <w:lang w:val="es-419"/>
              </w:rPr>
              <w:t>: "Vincular número de radicado SGDEA al expediente SICOQ", actualmente este vínculo se hace informalmente o no se hace.</w:t>
            </w:r>
          </w:p>
          <w:p w14:paraId="619C61C1"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Mediano plazo: interoperabilidad SGDEA-SICOQ donde al radicar en SGDEA el sistema sugiere el expediente SICOQ correspondiente por NIT del usuario.</w:t>
            </w:r>
          </w:p>
          <w:p w14:paraId="475F1C47"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Para PCR-26: añadir en el flujo el paso explícito "Cargar certificación de notificación (4-72) en SICOQ" con el número de radicado como campo obligatorio.</w:t>
            </w:r>
          </w:p>
        </w:tc>
      </w:tr>
      <w:tr w:rsidR="00E07753" w:rsidRPr="00B722F7" w14:paraId="17F23EA0" w14:textId="77777777" w:rsidTr="00E07753">
        <w:tc>
          <w:tcPr>
            <w:tcW w:w="3118" w:type="dxa"/>
            <w:tcMar>
              <w:top w:w="80" w:type="dxa"/>
              <w:left w:w="120" w:type="dxa"/>
              <w:bottom w:w="80" w:type="dxa"/>
              <w:right w:w="120" w:type="dxa"/>
            </w:tcMar>
          </w:tcPr>
          <w:p w14:paraId="159FD180"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2F34CEE7"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Elimina tiempo de búsqueda cruzada en múltiples sistemas, reduce errores de expediente mezclado, y preserva la trazabilidad del </w:t>
            </w:r>
            <w:proofErr w:type="gramStart"/>
            <w:r>
              <w:rPr>
                <w:rFonts w:ascii="Times New Roman" w:hAnsi="Times New Roman" w:cs="Times New Roman"/>
                <w:sz w:val="24"/>
                <w:szCs w:val="24"/>
                <w:lang w:val="es-419"/>
              </w:rPr>
              <w:t>proceso</w:t>
            </w:r>
            <w:proofErr w:type="gramEnd"/>
            <w:r>
              <w:rPr>
                <w:rFonts w:ascii="Times New Roman" w:hAnsi="Times New Roman" w:cs="Times New Roman"/>
                <w:sz w:val="24"/>
                <w:szCs w:val="24"/>
                <w:lang w:val="es-419"/>
              </w:rPr>
              <w:t xml:space="preserve"> aunque cambien los técnicos responsables al cierre de contratos.</w:t>
            </w:r>
          </w:p>
        </w:tc>
      </w:tr>
    </w:tbl>
    <w:p w14:paraId="249C1064" w14:textId="57921810" w:rsidR="00E2136E" w:rsidRPr="00E2136E" w:rsidRDefault="00E2136E" w:rsidP="00E2136E">
      <w:pPr>
        <w:spacing w:before="40" w:after="160"/>
        <w:rPr>
          <w:rFonts w:ascii="Times New Roman" w:hAnsi="Times New Roman" w:cs="Times New Roman"/>
          <w:sz w:val="24"/>
          <w:szCs w:val="24"/>
          <w:lang w:val="es-419"/>
        </w:rPr>
      </w:pPr>
      <w:r w:rsidRPr="00E2136E">
        <w:rPr>
          <w:rFonts w:ascii="Times New Roman" w:hAnsi="Times New Roman" w:cs="Times New Roman"/>
          <w:sz w:val="24"/>
          <w:szCs w:val="24"/>
          <w:lang w:val="es-419"/>
        </w:rPr>
        <w:lastRenderedPageBreak/>
        <w:t xml:space="preserve">En reunión de concertación y revisión de la oportunidad de optimización sostenida con la líder del grupo de Cannabis y el subdirector el </w:t>
      </w:r>
      <w:proofErr w:type="gramStart"/>
      <w:r w:rsidRPr="00E2136E">
        <w:rPr>
          <w:rFonts w:ascii="Times New Roman" w:hAnsi="Times New Roman" w:cs="Times New Roman"/>
          <w:sz w:val="24"/>
          <w:szCs w:val="24"/>
          <w:lang w:val="es-419"/>
        </w:rPr>
        <w:t>día martes</w:t>
      </w:r>
      <w:proofErr w:type="gramEnd"/>
      <w:r w:rsidRPr="00E2136E">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precisó que el desarrollo en curso opera en la dirección inversa a la originalmente propuesta: es la información de SICOQ la que viaja hacia SGDEA, donde se conforma el expediente electrónico asociado al número de solicitud. Este desarrollo está proyectado para el año 2026, aunque se encuentra condicionado a la integración con la empresa </w:t>
      </w:r>
      <w:proofErr w:type="spellStart"/>
      <w:r w:rsidRPr="00E2136E">
        <w:rPr>
          <w:rFonts w:ascii="Times New Roman" w:hAnsi="Times New Roman" w:cs="Times New Roman"/>
          <w:sz w:val="24"/>
          <w:szCs w:val="24"/>
          <w:lang w:val="es-419"/>
        </w:rPr>
        <w:t>Evolution</w:t>
      </w:r>
      <w:proofErr w:type="spellEnd"/>
      <w:r w:rsidRPr="00E2136E">
        <w:rPr>
          <w:rFonts w:ascii="Times New Roman" w:hAnsi="Times New Roman" w:cs="Times New Roman"/>
          <w:sz w:val="24"/>
          <w:szCs w:val="24"/>
          <w:lang w:val="es-419"/>
        </w:rPr>
        <w:t>, responsable del desarrollo del lado de SGDEA. La propuesta original —en la que al radicar en SGDEA el sistema sugiriera automáticamente el expediente SICOQ correspondiente— implicaría un desarrollo adicional de aproximadamente un año.</w:t>
      </w:r>
      <w:r>
        <w:rPr>
          <w:rFonts w:ascii="Times New Roman" w:hAnsi="Times New Roman" w:cs="Times New Roman"/>
          <w:sz w:val="24"/>
          <w:szCs w:val="24"/>
          <w:lang w:val="es-419"/>
        </w:rPr>
        <w:t xml:space="preserve"> </w:t>
      </w:r>
      <w:r w:rsidRPr="00E2136E">
        <w:rPr>
          <w:rFonts w:ascii="Times New Roman" w:hAnsi="Times New Roman" w:cs="Times New Roman"/>
          <w:sz w:val="24"/>
          <w:szCs w:val="24"/>
          <w:lang w:val="es-419"/>
        </w:rPr>
        <w:t>De cara a ello, el avance en curso —conformación del expediente electrónico en SGDEA a partir de la información de SICOQ— se incorpora en la versión I de los flujogramas de los procesos PCR-09, PCR-10 y PCR-26,</w:t>
      </w:r>
      <w:r>
        <w:rPr>
          <w:rFonts w:ascii="Times New Roman" w:hAnsi="Times New Roman" w:cs="Times New Roman"/>
          <w:sz w:val="24"/>
          <w:szCs w:val="24"/>
          <w:lang w:val="es-419"/>
        </w:rPr>
        <w:t xml:space="preserve"> </w:t>
      </w:r>
      <w:r w:rsidRPr="00E2136E">
        <w:rPr>
          <w:rFonts w:ascii="Times New Roman" w:hAnsi="Times New Roman" w:cs="Times New Roman"/>
          <w:sz w:val="24"/>
          <w:szCs w:val="24"/>
          <w:lang w:val="es-419"/>
        </w:rPr>
        <w:t xml:space="preserve">con la anotación de que opera en sentido inverso al propuesto inicialmente y está sujeto a la integración con </w:t>
      </w:r>
      <w:proofErr w:type="spellStart"/>
      <w:r w:rsidRPr="00E2136E">
        <w:rPr>
          <w:rFonts w:ascii="Times New Roman" w:hAnsi="Times New Roman" w:cs="Times New Roman"/>
          <w:sz w:val="24"/>
          <w:szCs w:val="24"/>
          <w:lang w:val="es-419"/>
        </w:rPr>
        <w:t>Evolution</w:t>
      </w:r>
      <w:proofErr w:type="spellEnd"/>
      <w:r w:rsidRPr="00E2136E">
        <w:rPr>
          <w:rFonts w:ascii="Times New Roman" w:hAnsi="Times New Roman" w:cs="Times New Roman"/>
          <w:sz w:val="24"/>
          <w:szCs w:val="24"/>
          <w:lang w:val="es-419"/>
        </w:rPr>
        <w:t>-SGDEA.</w:t>
      </w:r>
    </w:p>
    <w:p w14:paraId="43593746" w14:textId="77777777" w:rsidR="00E07753" w:rsidRPr="00DC0666" w:rsidRDefault="00E07753" w:rsidP="00E07753">
      <w:pPr>
        <w:spacing w:before="40" w:after="160"/>
        <w:rPr>
          <w:rFonts w:ascii="Times New Roman" w:hAnsi="Times New Roman" w:cs="Times New Roman"/>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18"/>
        <w:gridCol w:w="6962"/>
      </w:tblGrid>
      <w:tr w:rsidR="00E07753" w:rsidRPr="00B722F7" w14:paraId="38C4E78B" w14:textId="77777777" w:rsidTr="00E07753">
        <w:tc>
          <w:tcPr>
            <w:tcW w:w="10080" w:type="dxa"/>
            <w:gridSpan w:val="2"/>
            <w:tcMar>
              <w:top w:w="80" w:type="dxa"/>
              <w:left w:w="120" w:type="dxa"/>
              <w:bottom w:w="80" w:type="dxa"/>
              <w:right w:w="120" w:type="dxa"/>
            </w:tcMar>
          </w:tcPr>
          <w:p w14:paraId="50AA4648" w14:textId="77777777" w:rsidR="00E07753" w:rsidRPr="00DC0666" w:rsidRDefault="00E07753" w:rsidP="00FD3896">
            <w:pPr>
              <w:jc w:val="cente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S-</w:t>
            </w:r>
            <w:proofErr w:type="gramStart"/>
            <w:r>
              <w:rPr>
                <w:rFonts w:ascii="Times New Roman" w:eastAsia="DM Mono" w:hAnsi="Times New Roman" w:cs="Times New Roman"/>
                <w:b/>
                <w:bCs/>
                <w:sz w:val="24"/>
                <w:szCs w:val="24"/>
                <w:lang w:val="es-419"/>
              </w:rPr>
              <w:t xml:space="preserve">5  </w:t>
            </w:r>
            <w:r>
              <w:rPr>
                <w:rFonts w:ascii="Times New Roman" w:hAnsi="Times New Roman" w:cs="Times New Roman"/>
                <w:b/>
                <w:bCs/>
                <w:sz w:val="24"/>
                <w:szCs w:val="24"/>
                <w:lang w:val="es-419"/>
              </w:rPr>
              <w:t>Adelantar</w:t>
            </w:r>
            <w:proofErr w:type="gramEnd"/>
            <w:r>
              <w:rPr>
                <w:rFonts w:ascii="Times New Roman" w:hAnsi="Times New Roman" w:cs="Times New Roman"/>
                <w:b/>
                <w:bCs/>
                <w:sz w:val="24"/>
                <w:szCs w:val="24"/>
                <w:lang w:val="es-419"/>
              </w:rPr>
              <w:t xml:space="preserve"> la verificación de CCITE al inicio del flujo, antes de la revisión documental</w:t>
            </w:r>
          </w:p>
          <w:p w14:paraId="2F57076F" w14:textId="6192BBBE" w:rsidR="00E07753" w:rsidRPr="00A519FC" w:rsidRDefault="00E07753" w:rsidP="00FD3896">
            <w:pPr>
              <w:spacing w:after="60"/>
              <w:jc w:val="center"/>
              <w:rPr>
                <w:rFonts w:ascii="Cambria Math" w:hAnsi="Cambria Math" w:cs="Cambria Math"/>
                <w:sz w:val="24"/>
                <w:szCs w:val="24"/>
                <w:lang w:val="es-419"/>
              </w:rPr>
            </w:pPr>
            <w:proofErr w:type="gramStart"/>
            <w:r w:rsidRPr="00A519FC">
              <w:rPr>
                <w:rFonts w:ascii="Times New Roman" w:hAnsi="Times New Roman" w:cs="Times New Roman"/>
                <w:b/>
                <w:bCs/>
                <w:sz w:val="24"/>
                <w:szCs w:val="24"/>
                <w:lang w:val="es-419"/>
              </w:rPr>
              <w:t>SQ  ·</w:t>
            </w:r>
            <w:proofErr w:type="gramEnd"/>
            <w:r w:rsidRPr="00A519FC">
              <w:rPr>
                <w:rFonts w:ascii="Times New Roman" w:hAnsi="Times New Roman" w:cs="Times New Roman"/>
                <w:b/>
                <w:bCs/>
                <w:sz w:val="24"/>
                <w:szCs w:val="24"/>
                <w:lang w:val="es-419"/>
              </w:rPr>
              <w:t xml:space="preserve">  PCR-13, PCR-14</w:t>
            </w:r>
            <w:r w:rsidR="00E2136E">
              <w:rPr>
                <w:rFonts w:ascii="Times New Roman" w:hAnsi="Times New Roman" w:cs="Times New Roman"/>
                <w:b/>
                <w:bCs/>
                <w:sz w:val="24"/>
                <w:szCs w:val="24"/>
                <w:lang w:val="es-419"/>
              </w:rPr>
              <w:t>.</w:t>
            </w:r>
          </w:p>
        </w:tc>
      </w:tr>
      <w:tr w:rsidR="00E07753" w:rsidRPr="00B722F7" w14:paraId="3C30E824" w14:textId="77777777" w:rsidTr="00E07753">
        <w:tc>
          <w:tcPr>
            <w:tcW w:w="3118" w:type="dxa"/>
            <w:tcMar>
              <w:top w:w="80" w:type="dxa"/>
              <w:left w:w="120" w:type="dxa"/>
              <w:bottom w:w="80" w:type="dxa"/>
              <w:right w:w="120" w:type="dxa"/>
            </w:tcMar>
          </w:tcPr>
          <w:p w14:paraId="74F39E81"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b/>
                <w:bCs/>
                <w:sz w:val="24"/>
                <w:szCs w:val="24"/>
                <w:lang w:val="es-419"/>
              </w:rPr>
              <w:t>Paso(s) en el flujo</w:t>
            </w:r>
          </w:p>
        </w:tc>
        <w:tc>
          <w:tcPr>
            <w:tcW w:w="6962" w:type="dxa"/>
            <w:tcMar>
              <w:top w:w="80" w:type="dxa"/>
              <w:left w:w="120" w:type="dxa"/>
              <w:bottom w:w="80" w:type="dxa"/>
              <w:right w:w="120" w:type="dxa"/>
            </w:tcMar>
          </w:tcPr>
          <w:p w14:paraId="4114A0FE"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PCR-13 · Paso 04: "Verificar CCITE: sustancia, actividad de distribuidor y cupo disponible</w:t>
            </w:r>
            <w:proofErr w:type="gramStart"/>
            <w:r>
              <w:rPr>
                <w:rFonts w:ascii="Times New Roman" w:hAnsi="Times New Roman" w:cs="Times New Roman"/>
                <w:sz w:val="24"/>
                <w:szCs w:val="24"/>
                <w:lang w:val="es-419"/>
              </w:rPr>
              <w:t>"  ocurre</w:t>
            </w:r>
            <w:proofErr w:type="gramEnd"/>
            <w:r>
              <w:rPr>
                <w:rFonts w:ascii="Times New Roman" w:hAnsi="Times New Roman" w:cs="Times New Roman"/>
                <w:sz w:val="24"/>
                <w:szCs w:val="24"/>
                <w:lang w:val="es-419"/>
              </w:rPr>
              <w:t xml:space="preserve"> en Fase 1, después del ciclo de revisión documental.</w:t>
            </w:r>
          </w:p>
          <w:p w14:paraId="4F70F9ED" w14:textId="77777777" w:rsidR="00E07753" w:rsidRPr="00DC0666" w:rsidRDefault="00E07753" w:rsidP="00FD3896">
            <w:pPr>
              <w:spacing w:after="60"/>
              <w:rPr>
                <w:rFonts w:ascii="Times New Roman" w:hAnsi="Times New Roman" w:cs="Times New Roman"/>
                <w:sz w:val="24"/>
                <w:szCs w:val="24"/>
                <w:lang w:val="es-419"/>
              </w:rPr>
            </w:pPr>
            <w:r>
              <w:rPr>
                <w:rFonts w:ascii="Times New Roman" w:hAnsi="Times New Roman" w:cs="Times New Roman"/>
                <w:sz w:val="24"/>
                <w:szCs w:val="24"/>
                <w:lang w:val="es-419"/>
              </w:rPr>
              <w:t>PCR-14 · Paso 05: "Verificar CCITE: sustancia, actividad de importador y cupo disponible" ocurre en Fase 2, después de toda la revisión documental.</w:t>
            </w:r>
          </w:p>
        </w:tc>
      </w:tr>
      <w:tr w:rsidR="00E07753" w:rsidRPr="00B722F7" w14:paraId="691983AB" w14:textId="77777777" w:rsidTr="00E07753">
        <w:tc>
          <w:tcPr>
            <w:tcW w:w="3118" w:type="dxa"/>
            <w:tcMar>
              <w:top w:w="80" w:type="dxa"/>
              <w:left w:w="120" w:type="dxa"/>
              <w:bottom w:w="80" w:type="dxa"/>
              <w:right w:w="120" w:type="dxa"/>
            </w:tcMar>
          </w:tcPr>
          <w:p w14:paraId="3B468E43" w14:textId="77777777" w:rsidR="00E07753" w:rsidRPr="00DC0666" w:rsidRDefault="00E07753" w:rsidP="00FD3896">
            <w:pPr>
              <w:rPr>
                <w:rFonts w:ascii="Times New Roman" w:hAnsi="Times New Roman" w:cs="Times New Roman"/>
                <w:sz w:val="24"/>
                <w:szCs w:val="24"/>
              </w:rPr>
            </w:pPr>
            <w:proofErr w:type="spellStart"/>
            <w:r>
              <w:rPr>
                <w:rFonts w:ascii="Times New Roman" w:hAnsi="Times New Roman" w:cs="Times New Roman"/>
                <w:b/>
                <w:bCs/>
                <w:sz w:val="24"/>
                <w:szCs w:val="24"/>
              </w:rPr>
              <w:t>Evidencia</w:t>
            </w:r>
            <w:proofErr w:type="spell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encuesta</w:t>
            </w:r>
            <w:proofErr w:type="spellEnd"/>
          </w:p>
        </w:tc>
        <w:tc>
          <w:tcPr>
            <w:tcW w:w="6962" w:type="dxa"/>
            <w:tcMar>
              <w:top w:w="80" w:type="dxa"/>
              <w:left w:w="120" w:type="dxa"/>
              <w:bottom w:w="80" w:type="dxa"/>
              <w:right w:w="120" w:type="dxa"/>
            </w:tcMar>
          </w:tcPr>
          <w:p w14:paraId="1CCC6A5F"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Si el CCITE no cumple, el concepto debe ser necesariamente negativo. Si esta verificación se hace al final, todo el trabajo de revisión documental previo se vuelve irrelevante en esos casos. La verificación CCITE es condición necesaria (no suficiente) para el concepto favorable. Lógicamente debe ser la primera verificación, no la última.</w:t>
            </w:r>
          </w:p>
          <w:p w14:paraId="1A000006" w14:textId="3AB74913"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En </w:t>
            </w:r>
            <w:proofErr w:type="spellStart"/>
            <w:r>
              <w:rPr>
                <w:rFonts w:ascii="Times New Roman" w:hAnsi="Times New Roman" w:cs="Times New Roman"/>
                <w:sz w:val="24"/>
                <w:szCs w:val="24"/>
                <w:lang w:val="es-419"/>
              </w:rPr>
              <w:t>ExtraOrdinarios</w:t>
            </w:r>
            <w:proofErr w:type="spellEnd"/>
            <w:r>
              <w:rPr>
                <w:rFonts w:ascii="Times New Roman" w:hAnsi="Times New Roman" w:cs="Times New Roman"/>
                <w:sz w:val="24"/>
                <w:szCs w:val="24"/>
                <w:lang w:val="es-419"/>
              </w:rPr>
              <w:t xml:space="preserve">, que incluye autorizaciones urgentes con verificación CCITE, el estado Verificación </w:t>
            </w:r>
            <w:proofErr w:type="spellStart"/>
            <w:r>
              <w:rPr>
                <w:rFonts w:ascii="Times New Roman" w:hAnsi="Times New Roman" w:cs="Times New Roman"/>
                <w:sz w:val="24"/>
                <w:szCs w:val="24"/>
                <w:lang w:val="es-419"/>
              </w:rPr>
              <w:t>Req</w:t>
            </w:r>
            <w:proofErr w:type="spellEnd"/>
            <w:r>
              <w:rPr>
                <w:rFonts w:ascii="Times New Roman" w:hAnsi="Times New Roman" w:cs="Times New Roman"/>
                <w:sz w:val="24"/>
                <w:szCs w:val="24"/>
                <w:lang w:val="es-419"/>
              </w:rPr>
              <w:t xml:space="preserve">. Específicos Asignada es el cuello dominante en el 44.6% de los trámites. Si la verificación CCITE negativa se detecta al momento de radicación, antes de alcanzar ese estado, los trámites con CCITE incumplido recibirían respuesta inmediata sin consumir tiempo de revisión documental. Adicionalmente, el estado Enviada (8.1% de </w:t>
            </w:r>
            <w:proofErr w:type="spellStart"/>
            <w:r>
              <w:rPr>
                <w:rFonts w:ascii="Times New Roman" w:hAnsi="Times New Roman" w:cs="Times New Roman"/>
                <w:sz w:val="24"/>
                <w:szCs w:val="24"/>
                <w:lang w:val="es-419"/>
              </w:rPr>
              <w:t>ExtraOrdinarios</w:t>
            </w:r>
            <w:proofErr w:type="spellEnd"/>
            <w:r>
              <w:rPr>
                <w:rFonts w:ascii="Times New Roman" w:hAnsi="Times New Roman" w:cs="Times New Roman"/>
                <w:sz w:val="24"/>
                <w:szCs w:val="24"/>
                <w:lang w:val="es-419"/>
              </w:rPr>
              <w:t xml:space="preserve"> como cuello) señala que hay solicitudes que se envían externamente sin que la verificación CCITE previa haya descartado su inviabilidad</w:t>
            </w:r>
            <w:r w:rsidR="0040423A">
              <w:rPr>
                <w:rFonts w:ascii="Times New Roman" w:hAnsi="Times New Roman" w:cs="Times New Roman"/>
                <w:sz w:val="24"/>
                <w:szCs w:val="24"/>
                <w:lang w:val="es-419"/>
              </w:rPr>
              <w:t>.</w:t>
            </w:r>
          </w:p>
        </w:tc>
      </w:tr>
      <w:tr w:rsidR="00E07753" w:rsidRPr="00B722F7" w14:paraId="4EDBF626" w14:textId="77777777" w:rsidTr="00E07753">
        <w:tc>
          <w:tcPr>
            <w:tcW w:w="3118" w:type="dxa"/>
            <w:tcMar>
              <w:top w:w="80" w:type="dxa"/>
              <w:left w:w="120" w:type="dxa"/>
              <w:bottom w:w="80" w:type="dxa"/>
              <w:right w:w="120" w:type="dxa"/>
            </w:tcMar>
          </w:tcPr>
          <w:p w14:paraId="12DD2A10"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t xml:space="preserve">Cambio </w:t>
            </w:r>
            <w:proofErr w:type="spellStart"/>
            <w:r>
              <w:rPr>
                <w:rFonts w:ascii="Times New Roman" w:hAnsi="Times New Roman" w:cs="Times New Roman"/>
                <w:b/>
                <w:bCs/>
                <w:sz w:val="24"/>
                <w:szCs w:val="24"/>
              </w:rPr>
              <w:t>propuesto</w:t>
            </w:r>
            <w:proofErr w:type="spellEnd"/>
          </w:p>
        </w:tc>
        <w:tc>
          <w:tcPr>
            <w:tcW w:w="6962" w:type="dxa"/>
            <w:tcMar>
              <w:top w:w="80" w:type="dxa"/>
              <w:left w:w="120" w:type="dxa"/>
              <w:bottom w:w="80" w:type="dxa"/>
              <w:right w:w="120" w:type="dxa"/>
            </w:tcMar>
          </w:tcPr>
          <w:p w14:paraId="49A373B7"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 xml:space="preserve">Mover la verificación CCITE al momento de la recepción de la solicitud, antes de iniciar la revisión documental. Si el </w:t>
            </w:r>
            <w:r>
              <w:rPr>
                <w:rFonts w:ascii="Times New Roman" w:hAnsi="Times New Roman" w:cs="Times New Roman"/>
                <w:sz w:val="24"/>
                <w:szCs w:val="24"/>
                <w:lang w:val="es-419"/>
              </w:rPr>
              <w:lastRenderedPageBreak/>
              <w:t>CCITE no cumple: emitir concepto negativo sin consumir tiempo de revisión.</w:t>
            </w:r>
          </w:p>
          <w:p w14:paraId="1E9B0D66"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rPr>
            </w:pPr>
            <w:r>
              <w:rPr>
                <w:rFonts w:ascii="Times New Roman" w:hAnsi="Times New Roman" w:cs="Times New Roman"/>
                <w:sz w:val="24"/>
                <w:szCs w:val="24"/>
                <w:lang w:val="es-419"/>
              </w:rPr>
              <w:t xml:space="preserve">Rediseño del flujo: el paso 02 "Recibir y analizar" se bifurca inmediatamente: "Consulta automática SICOQ de CCITE del usuario" → ¿Cumple? </w:t>
            </w:r>
            <w:r>
              <w:rPr>
                <w:rFonts w:ascii="Times New Roman" w:hAnsi="Times New Roman" w:cs="Times New Roman"/>
                <w:sz w:val="24"/>
                <w:szCs w:val="24"/>
              </w:rPr>
              <w:t xml:space="preserve">→ NO: </w:t>
            </w:r>
            <w:proofErr w:type="spellStart"/>
            <w:r>
              <w:rPr>
                <w:rFonts w:ascii="Times New Roman" w:hAnsi="Times New Roman" w:cs="Times New Roman"/>
                <w:sz w:val="24"/>
                <w:szCs w:val="24"/>
              </w:rPr>
              <w:t>concepto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negativo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inmediato</w:t>
            </w:r>
            <w:proofErr w:type="spellEnd"/>
            <w:r>
              <w:rPr>
                <w:rFonts w:ascii="Times New Roman" w:hAnsi="Times New Roman" w:cs="Times New Roman"/>
                <w:sz w:val="24"/>
                <w:szCs w:val="24"/>
              </w:rPr>
              <w:t xml:space="preserve"> / SÍ: </w:t>
            </w:r>
            <w:proofErr w:type="spellStart"/>
            <w:r>
              <w:rPr>
                <w:rFonts w:ascii="Times New Roman" w:hAnsi="Times New Roman" w:cs="Times New Roman"/>
                <w:sz w:val="24"/>
                <w:szCs w:val="24"/>
              </w:rPr>
              <w:t>continúa</w:t>
            </w:r>
            <w:proofErr w:type="spellEnd"/>
            <w:r>
              <w:rPr>
                <w:rFonts w:ascii="Times New Roman" w:hAnsi="Times New Roman" w:cs="Times New Roman"/>
                <w:sz w:val="24"/>
                <w:szCs w:val="24"/>
              </w:rPr>
              <w:t xml:space="preserve"> con </w:t>
            </w:r>
            <w:proofErr w:type="spellStart"/>
            <w:r>
              <w:rPr>
                <w:rFonts w:ascii="Times New Roman" w:hAnsi="Times New Roman" w:cs="Times New Roman"/>
                <w:sz w:val="24"/>
                <w:szCs w:val="24"/>
              </w:rPr>
              <w:t>revisión</w:t>
            </w:r>
            <w:proofErr w:type="spellEnd"/>
            <w:r>
              <w:rPr>
                <w:rFonts w:ascii="Times New Roman" w:hAnsi="Times New Roman" w:cs="Times New Roman"/>
                <w:sz w:val="24"/>
                <w:szCs w:val="24"/>
              </w:rPr>
              <w:t xml:space="preserve"> documental.</w:t>
            </w:r>
          </w:p>
          <w:p w14:paraId="3D5DB455" w14:textId="77777777" w:rsidR="00E07753" w:rsidRPr="00DC0666" w:rsidRDefault="00E07753" w:rsidP="00FD3896">
            <w:pPr>
              <w:pStyle w:val="ListParagraph"/>
              <w:numPr>
                <w:ilvl w:val="0"/>
                <w:numId w:val="1"/>
              </w:numPr>
              <w:spacing w:after="60"/>
              <w:contextualSpacing w:val="0"/>
              <w:rPr>
                <w:rFonts w:ascii="Times New Roman" w:hAnsi="Times New Roman" w:cs="Times New Roman"/>
                <w:sz w:val="24"/>
                <w:szCs w:val="24"/>
                <w:lang w:val="es-419"/>
              </w:rPr>
            </w:pPr>
            <w:r>
              <w:rPr>
                <w:rFonts w:ascii="Times New Roman" w:hAnsi="Times New Roman" w:cs="Times New Roman"/>
                <w:sz w:val="24"/>
                <w:szCs w:val="24"/>
                <w:lang w:val="es-419"/>
              </w:rPr>
              <w:t>Esta verificación puede hacerse automáticamente por SICOQ al momento de la radicación en VUCE, sin intervención del profesional.</w:t>
            </w:r>
          </w:p>
        </w:tc>
      </w:tr>
      <w:tr w:rsidR="00E07753" w:rsidRPr="00B722F7" w14:paraId="38D1C4D3" w14:textId="77777777" w:rsidTr="00E07753">
        <w:tc>
          <w:tcPr>
            <w:tcW w:w="3118" w:type="dxa"/>
            <w:tcMar>
              <w:top w:w="80" w:type="dxa"/>
              <w:left w:w="120" w:type="dxa"/>
              <w:bottom w:w="80" w:type="dxa"/>
              <w:right w:w="120" w:type="dxa"/>
            </w:tcMar>
          </w:tcPr>
          <w:p w14:paraId="677EDE67" w14:textId="77777777" w:rsidR="00E07753" w:rsidRPr="00DC0666" w:rsidRDefault="00E07753" w:rsidP="00FD3896">
            <w:pPr>
              <w:rPr>
                <w:rFonts w:ascii="Times New Roman" w:hAnsi="Times New Roman" w:cs="Times New Roman"/>
                <w:sz w:val="24"/>
                <w:szCs w:val="24"/>
              </w:rPr>
            </w:pPr>
            <w:r>
              <w:rPr>
                <w:rFonts w:ascii="Times New Roman" w:hAnsi="Times New Roman" w:cs="Times New Roman"/>
                <w:b/>
                <w:bCs/>
                <w:sz w:val="24"/>
                <w:szCs w:val="24"/>
              </w:rPr>
              <w:lastRenderedPageBreak/>
              <w:t xml:space="preserve">Impacto </w:t>
            </w:r>
            <w:proofErr w:type="spellStart"/>
            <w:r>
              <w:rPr>
                <w:rFonts w:ascii="Times New Roman" w:hAnsi="Times New Roman" w:cs="Times New Roman"/>
                <w:b/>
                <w:bCs/>
                <w:sz w:val="24"/>
                <w:szCs w:val="24"/>
              </w:rPr>
              <w:t>estimado</w:t>
            </w:r>
            <w:proofErr w:type="spellEnd"/>
          </w:p>
        </w:tc>
        <w:tc>
          <w:tcPr>
            <w:tcW w:w="6962" w:type="dxa"/>
            <w:tcMar>
              <w:top w:w="80" w:type="dxa"/>
              <w:left w:w="120" w:type="dxa"/>
              <w:bottom w:w="80" w:type="dxa"/>
              <w:right w:w="120" w:type="dxa"/>
            </w:tcMar>
          </w:tcPr>
          <w:p w14:paraId="09270404" w14:textId="77777777" w:rsidR="00E07753" w:rsidRPr="00DC0666"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En los casos donde el CCITE no cumple, elimina todo el ciclo de revisión documental (pasos 02–03 de PCR-13, pasos 02–04 de PCR-14), recuperando varios días hábiles por trámite y permitiendo respuesta más rápida al usuario.</w:t>
            </w:r>
          </w:p>
        </w:tc>
      </w:tr>
    </w:tbl>
    <w:p w14:paraId="6278B568" w14:textId="1489EE53" w:rsidR="00E07753" w:rsidRPr="00E2136E" w:rsidRDefault="00E2136E" w:rsidP="00E07753">
      <w:pPr>
        <w:rPr>
          <w:rFonts w:ascii="Times New Roman" w:hAnsi="Times New Roman" w:cs="Times New Roman"/>
          <w:sz w:val="24"/>
          <w:szCs w:val="24"/>
          <w:lang w:val="es-419"/>
        </w:rPr>
      </w:pPr>
      <w:r w:rsidRPr="00E2136E">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E2136E">
        <w:rPr>
          <w:rFonts w:ascii="Times New Roman" w:hAnsi="Times New Roman" w:cs="Times New Roman"/>
          <w:sz w:val="24"/>
          <w:szCs w:val="24"/>
          <w:lang w:val="es-419"/>
        </w:rPr>
        <w:t>día martes</w:t>
      </w:r>
      <w:proofErr w:type="gramEnd"/>
      <w:r w:rsidRPr="00E2136E">
        <w:rPr>
          <w:rFonts w:ascii="Times New Roman" w:hAnsi="Times New Roman" w:cs="Times New Roman"/>
          <w:sz w:val="24"/>
          <w:szCs w:val="24"/>
          <w:lang w:val="es-419"/>
        </w:rPr>
        <w:t xml:space="preserve"> 19 de mayo, esta propuesta no fue aceptada como oportunidad de optimización de los procesos asociados a la subdirección. En tanto los trámites de exportación e importación ingresan a través de la Ventanilla Única de Comercio Exterior —VUCE—, no existe posibilidad de adelantar la verificación del CCITE a un momento anterior al previsto en el flujo actual. En consecuencia, no se incorpora en ninguna de las versiones de los flujogramas de los procesos PCR-13 y PCR-14.</w:t>
      </w:r>
    </w:p>
    <w:p w14:paraId="14E1FBF2" w14:textId="77777777" w:rsidR="00E2136E" w:rsidRPr="00DC0666" w:rsidRDefault="00E2136E" w:rsidP="00E07753">
      <w:pPr>
        <w:rPr>
          <w:rFonts w:ascii="Times New Roman" w:hAnsi="Times New Roman" w:cs="Times New Roman"/>
          <w:b/>
          <w:bCs/>
          <w:sz w:val="24"/>
          <w:szCs w:val="24"/>
          <w:lang w:val="es-419"/>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0" w:type="dxa"/>
          <w:left w:w="120" w:type="dxa"/>
          <w:bottom w:w="80" w:type="dxa"/>
          <w:right w:w="120" w:type="dxa"/>
        </w:tblCellMar>
        <w:tblLook w:val="04A0" w:firstRow="1" w:lastRow="0" w:firstColumn="1" w:lastColumn="0" w:noHBand="0" w:noVBand="1"/>
      </w:tblPr>
      <w:tblGrid>
        <w:gridCol w:w="3256"/>
        <w:gridCol w:w="6824"/>
      </w:tblGrid>
      <w:tr w:rsidR="0040423A" w:rsidRPr="00B722F7" w14:paraId="4C6022D5" w14:textId="77777777" w:rsidTr="001A2185">
        <w:tc>
          <w:tcPr>
            <w:tcW w:w="10080" w:type="dxa"/>
            <w:gridSpan w:val="2"/>
            <w:tcMar>
              <w:top w:w="80" w:type="dxa"/>
              <w:left w:w="120" w:type="dxa"/>
              <w:bottom w:w="80" w:type="dxa"/>
              <w:right w:w="120" w:type="dxa"/>
            </w:tcMar>
          </w:tcPr>
          <w:p w14:paraId="1F70FB29" w14:textId="6F469119" w:rsidR="00705B25" w:rsidRPr="002A0910" w:rsidRDefault="0040423A" w:rsidP="00FD3896">
            <w:pPr>
              <w:rPr>
                <w:rFonts w:ascii="Times New Roman" w:hAnsi="Times New Roman" w:cs="Times New Roman"/>
                <w:b/>
                <w:bCs/>
                <w:sz w:val="24"/>
                <w:szCs w:val="24"/>
                <w:lang w:val="es-419"/>
              </w:rPr>
            </w:pPr>
            <w:r>
              <w:rPr>
                <w:rFonts w:ascii="Times New Roman" w:eastAsia="DM Mono" w:hAnsi="Times New Roman" w:cs="Times New Roman"/>
                <w:b/>
                <w:bCs/>
                <w:sz w:val="24"/>
                <w:szCs w:val="24"/>
                <w:lang w:val="es-419"/>
              </w:rPr>
              <w:t>S-</w:t>
            </w:r>
            <w:proofErr w:type="gramStart"/>
            <w:r>
              <w:rPr>
                <w:rFonts w:ascii="Times New Roman" w:eastAsia="DM Mono" w:hAnsi="Times New Roman" w:cs="Times New Roman"/>
                <w:b/>
                <w:bCs/>
                <w:sz w:val="24"/>
                <w:szCs w:val="24"/>
                <w:lang w:val="es-419"/>
              </w:rPr>
              <w:t xml:space="preserve">6  </w:t>
            </w:r>
            <w:r>
              <w:rPr>
                <w:rFonts w:ascii="Times New Roman" w:hAnsi="Times New Roman" w:cs="Times New Roman"/>
                <w:b/>
                <w:bCs/>
                <w:sz w:val="24"/>
                <w:szCs w:val="24"/>
                <w:lang w:val="es-419"/>
              </w:rPr>
              <w:t>Automatizar</w:t>
            </w:r>
            <w:proofErr w:type="gramEnd"/>
            <w:r>
              <w:rPr>
                <w:rFonts w:ascii="Times New Roman" w:hAnsi="Times New Roman" w:cs="Times New Roman"/>
                <w:b/>
                <w:bCs/>
                <w:sz w:val="24"/>
                <w:szCs w:val="24"/>
                <w:lang w:val="es-419"/>
              </w:rPr>
              <w:t xml:space="preserve"> la proyección del acto administrativo en SICOQ, eliminando la elaboración manual del </w:t>
            </w:r>
            <w:proofErr w:type="gramStart"/>
            <w:r>
              <w:rPr>
                <w:rFonts w:ascii="Times New Roman" w:hAnsi="Times New Roman" w:cs="Times New Roman"/>
                <w:b/>
                <w:bCs/>
                <w:sz w:val="24"/>
                <w:szCs w:val="24"/>
                <w:lang w:val="es-419"/>
              </w:rPr>
              <w:t>documento  SQ</w:t>
            </w:r>
            <w:proofErr w:type="gramEnd"/>
            <w:r>
              <w:rPr>
                <w:rFonts w:ascii="Times New Roman" w:hAnsi="Times New Roman" w:cs="Times New Roman"/>
                <w:b/>
                <w:bCs/>
                <w:sz w:val="24"/>
                <w:szCs w:val="24"/>
                <w:lang w:val="es-419"/>
              </w:rPr>
              <w:t xml:space="preserve">  </w:t>
            </w:r>
            <w:proofErr w:type="gramStart"/>
            <w:r>
              <w:rPr>
                <w:rFonts w:ascii="Times New Roman" w:hAnsi="Times New Roman" w:cs="Times New Roman"/>
                <w:b/>
                <w:bCs/>
                <w:sz w:val="24"/>
                <w:szCs w:val="24"/>
                <w:lang w:val="es-419"/>
              </w:rPr>
              <w:t>·  PCR</w:t>
            </w:r>
            <w:proofErr w:type="gramEnd"/>
            <w:r>
              <w:rPr>
                <w:rFonts w:ascii="Times New Roman" w:hAnsi="Times New Roman" w:cs="Times New Roman"/>
                <w:b/>
                <w:bCs/>
                <w:sz w:val="24"/>
                <w:szCs w:val="24"/>
                <w:lang w:val="es-419"/>
              </w:rPr>
              <w:t>-09, PCR-10, PCR-13, PCR-14</w:t>
            </w:r>
          </w:p>
        </w:tc>
      </w:tr>
      <w:tr w:rsidR="00E07753" w:rsidRPr="00B722F7" w14:paraId="1B000003" w14:textId="77777777" w:rsidTr="001A2185">
        <w:tc>
          <w:tcPr>
            <w:tcW w:w="3256" w:type="dxa"/>
            <w:tcMar>
              <w:top w:w="80" w:type="dxa"/>
              <w:left w:w="120" w:type="dxa"/>
              <w:bottom w:w="80" w:type="dxa"/>
              <w:right w:w="120" w:type="dxa"/>
            </w:tcMar>
          </w:tcPr>
          <w:p w14:paraId="1B000004" w14:textId="77777777" w:rsidR="00E07753" w:rsidRDefault="00E07753" w:rsidP="00FD3896">
            <w:pPr>
              <w:rPr>
                <w:rFonts w:ascii="Times New Roman" w:hAnsi="Times New Roman" w:cs="Times New Roman"/>
                <w:b/>
                <w:bCs/>
                <w:sz w:val="24"/>
                <w:szCs w:val="24"/>
                <w:lang w:val="es-419"/>
              </w:rPr>
            </w:pPr>
            <w:r>
              <w:rPr>
                <w:rFonts w:ascii="Times New Roman" w:hAnsi="Times New Roman" w:cs="Times New Roman"/>
                <w:b/>
                <w:bCs/>
                <w:sz w:val="24"/>
                <w:szCs w:val="24"/>
                <w:lang w:val="es-419"/>
              </w:rPr>
              <w:t>Paso(s) en el flujo</w:t>
            </w:r>
          </w:p>
        </w:tc>
        <w:tc>
          <w:tcPr>
            <w:tcW w:w="6824" w:type="dxa"/>
            <w:tcMar>
              <w:top w:w="80" w:type="dxa"/>
              <w:left w:w="120" w:type="dxa"/>
              <w:bottom w:w="80" w:type="dxa"/>
              <w:right w:w="120" w:type="dxa"/>
            </w:tcMar>
          </w:tcPr>
          <w:p w14:paraId="1B000005" w14:textId="2FA79738" w:rsidR="00E07753"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PCR-09 / PCR-10: paso “Proyectar y revisar el acto administrativo” el profesional elabora manualmente el documento de autorización desde cero, aunque los datos de la solicitud y del concepto técnico ya existen en SICOQ. </w:t>
            </w:r>
            <w:r w:rsidR="001A2185">
              <w:rPr>
                <w:rFonts w:ascii="Times New Roman" w:hAnsi="Times New Roman" w:cs="Times New Roman"/>
                <w:sz w:val="24"/>
                <w:szCs w:val="24"/>
                <w:lang w:val="es-419"/>
              </w:rPr>
              <w:br/>
            </w:r>
            <w:r>
              <w:rPr>
                <w:rFonts w:ascii="Times New Roman" w:hAnsi="Times New Roman" w:cs="Times New Roman"/>
                <w:sz w:val="24"/>
                <w:szCs w:val="24"/>
                <w:lang w:val="es-419"/>
              </w:rPr>
              <w:t>PCR-13 / PCR-14: paso “Proyectar acto administrativo” igual dinámica de redacción manual con datos ya disponibles en el sistema.</w:t>
            </w:r>
          </w:p>
        </w:tc>
      </w:tr>
      <w:tr w:rsidR="00E07753" w:rsidRPr="00B722F7" w14:paraId="1B000006" w14:textId="77777777" w:rsidTr="001A2185">
        <w:tc>
          <w:tcPr>
            <w:tcW w:w="3256" w:type="dxa"/>
            <w:tcMar>
              <w:top w:w="80" w:type="dxa"/>
              <w:left w:w="120" w:type="dxa"/>
              <w:bottom w:w="80" w:type="dxa"/>
              <w:right w:w="120" w:type="dxa"/>
            </w:tcMar>
          </w:tcPr>
          <w:p w14:paraId="1B000007" w14:textId="271FFC15" w:rsidR="00E07753" w:rsidRDefault="00E07753" w:rsidP="001A2185">
            <w:pPr>
              <w:rPr>
                <w:rFonts w:ascii="Times New Roman" w:hAnsi="Times New Roman" w:cs="Times New Roman"/>
                <w:b/>
                <w:bCs/>
                <w:sz w:val="24"/>
                <w:szCs w:val="24"/>
                <w:lang w:val="es-419"/>
              </w:rPr>
            </w:pPr>
            <w:r>
              <w:rPr>
                <w:rFonts w:ascii="Times New Roman" w:hAnsi="Times New Roman" w:cs="Times New Roman"/>
                <w:b/>
                <w:bCs/>
                <w:sz w:val="24"/>
                <w:szCs w:val="24"/>
                <w:lang w:val="es-419"/>
              </w:rPr>
              <w:t>E</w:t>
            </w:r>
            <w:r w:rsidR="001A2185">
              <w:rPr>
                <w:rFonts w:ascii="Times New Roman" w:hAnsi="Times New Roman" w:cs="Times New Roman"/>
                <w:b/>
                <w:bCs/>
                <w:sz w:val="24"/>
                <w:szCs w:val="24"/>
                <w:lang w:val="es-419"/>
              </w:rPr>
              <w:t>v</w:t>
            </w:r>
            <w:r>
              <w:rPr>
                <w:rFonts w:ascii="Times New Roman" w:hAnsi="Times New Roman" w:cs="Times New Roman"/>
                <w:b/>
                <w:bCs/>
                <w:sz w:val="24"/>
                <w:szCs w:val="24"/>
                <w:lang w:val="es-419"/>
              </w:rPr>
              <w:t>idencia encuesta</w:t>
            </w:r>
          </w:p>
        </w:tc>
        <w:tc>
          <w:tcPr>
            <w:tcW w:w="6824" w:type="dxa"/>
            <w:tcMar>
              <w:top w:w="80" w:type="dxa"/>
              <w:left w:w="120" w:type="dxa"/>
              <w:bottom w:w="80" w:type="dxa"/>
              <w:right w:w="120" w:type="dxa"/>
            </w:tcMar>
          </w:tcPr>
          <w:p w14:paraId="1B000008" w14:textId="5EB16620" w:rsidR="00E07753"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 xml:space="preserve">La tabla de oportunidades de automatización de la encuesta (P58) identifica </w:t>
            </w:r>
            <w:proofErr w:type="spellStart"/>
            <w:r>
              <w:rPr>
                <w:rFonts w:ascii="Times New Roman" w:hAnsi="Times New Roman" w:cs="Times New Roman"/>
                <w:sz w:val="24"/>
                <w:szCs w:val="24"/>
                <w:lang w:val="es-419"/>
              </w:rPr>
              <w:t>explicitamente</w:t>
            </w:r>
            <w:proofErr w:type="spellEnd"/>
            <w:r>
              <w:rPr>
                <w:rFonts w:ascii="Times New Roman" w:hAnsi="Times New Roman" w:cs="Times New Roman"/>
                <w:sz w:val="24"/>
                <w:szCs w:val="24"/>
                <w:lang w:val="es-419"/>
              </w:rPr>
              <w:t xml:space="preserve"> la “generación automática del acto administrativo de cupo desde los datos de la solicitud y evaluación ya existentes en el sistema” como una mejora de impacto medio-alto. El análisis cuantitativo confirma que el estado Gestión del Acto Administrativo aparece como cuello de botella en el 12.8% de los trámites de Primera Vez, el 6.8% de </w:t>
            </w:r>
            <w:proofErr w:type="spellStart"/>
            <w:r>
              <w:rPr>
                <w:rFonts w:ascii="Times New Roman" w:hAnsi="Times New Roman" w:cs="Times New Roman"/>
                <w:sz w:val="24"/>
                <w:szCs w:val="24"/>
                <w:lang w:val="es-419"/>
              </w:rPr>
              <w:t>ExtraOrdinarios</w:t>
            </w:r>
            <w:proofErr w:type="spellEnd"/>
            <w:r>
              <w:rPr>
                <w:rFonts w:ascii="Times New Roman" w:hAnsi="Times New Roman" w:cs="Times New Roman"/>
                <w:sz w:val="24"/>
                <w:szCs w:val="24"/>
                <w:lang w:val="es-419"/>
              </w:rPr>
              <w:t xml:space="preserve"> y el 6.1% de Sustituciones: una sumatoria de trámites represados en la fase de producción documental que ya tiene todos sus insumos disponibles en SICOQ. El equipo técnico SQ estima en P28 que actividades de producción documental estandarizables absorben tiempo que podría dedicarse al análisis sustantivo del trámite</w:t>
            </w:r>
            <w:r w:rsidR="001A2185">
              <w:rPr>
                <w:rFonts w:ascii="Times New Roman" w:hAnsi="Times New Roman" w:cs="Times New Roman"/>
                <w:sz w:val="24"/>
                <w:szCs w:val="24"/>
                <w:lang w:val="es-419"/>
              </w:rPr>
              <w:t>.</w:t>
            </w:r>
          </w:p>
        </w:tc>
      </w:tr>
      <w:tr w:rsidR="00E07753" w:rsidRPr="00B722F7" w14:paraId="1B000009" w14:textId="77777777" w:rsidTr="001A2185">
        <w:tc>
          <w:tcPr>
            <w:tcW w:w="3256" w:type="dxa"/>
            <w:tcMar>
              <w:top w:w="80" w:type="dxa"/>
              <w:left w:w="120" w:type="dxa"/>
              <w:bottom w:w="80" w:type="dxa"/>
              <w:right w:w="120" w:type="dxa"/>
            </w:tcMar>
          </w:tcPr>
          <w:p w14:paraId="1B00000A" w14:textId="77777777" w:rsidR="00E07753" w:rsidRDefault="00E07753" w:rsidP="00FD3896">
            <w:pPr>
              <w:rPr>
                <w:rFonts w:ascii="Times New Roman" w:hAnsi="Times New Roman" w:cs="Times New Roman"/>
                <w:b/>
                <w:bCs/>
                <w:sz w:val="24"/>
                <w:szCs w:val="24"/>
              </w:rPr>
            </w:pPr>
            <w:r>
              <w:rPr>
                <w:rFonts w:ascii="Times New Roman" w:hAnsi="Times New Roman" w:cs="Times New Roman"/>
                <w:b/>
                <w:bCs/>
                <w:sz w:val="24"/>
                <w:szCs w:val="24"/>
              </w:rPr>
              <w:lastRenderedPageBreak/>
              <w:t xml:space="preserve">Cambio </w:t>
            </w:r>
            <w:proofErr w:type="spellStart"/>
            <w:r>
              <w:rPr>
                <w:rFonts w:ascii="Times New Roman" w:hAnsi="Times New Roman" w:cs="Times New Roman"/>
                <w:b/>
                <w:bCs/>
                <w:sz w:val="24"/>
                <w:szCs w:val="24"/>
              </w:rPr>
              <w:t>propuesto</w:t>
            </w:r>
            <w:proofErr w:type="spellEnd"/>
          </w:p>
        </w:tc>
        <w:tc>
          <w:tcPr>
            <w:tcW w:w="6824" w:type="dxa"/>
            <w:tcMar>
              <w:top w:w="80" w:type="dxa"/>
              <w:left w:w="120" w:type="dxa"/>
              <w:bottom w:w="80" w:type="dxa"/>
              <w:right w:w="120" w:type="dxa"/>
            </w:tcMar>
          </w:tcPr>
          <w:p w14:paraId="1B00000B" w14:textId="77777777" w:rsidR="00E07753"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Desarrollar en SICOQ un módulo de generación automática del acto administrativo: cuando el concepto técnico favorable esté aprobado, SICOQ genera una plantilla prellenada con los datos de la solicitud, el solicitante, la sustancia, los cupos autorizados y el número de expediente. El profesional revisa y firma, no proyecta desde cero. Rediseño del flujo: el paso actual “Proyectar acto administrativo” se divide en (A) SICOQ genera borrador desde datos del sistema y (B) el profesional revisa, ajusta si aplica y firma. Medida transitoria: estandarizar una plantilla Word corporativa con campos de marcador de posición vinculados al número de SICOQ, de uso obligatorio para todos los profesionales, reduciendo el tiempo de elaboración y la variabilidad de formato entre documentos.</w:t>
            </w:r>
          </w:p>
        </w:tc>
      </w:tr>
      <w:tr w:rsidR="00E07753" w:rsidRPr="00B722F7" w14:paraId="1B00000C" w14:textId="77777777" w:rsidTr="001A2185">
        <w:tc>
          <w:tcPr>
            <w:tcW w:w="3256" w:type="dxa"/>
            <w:tcMar>
              <w:top w:w="80" w:type="dxa"/>
              <w:left w:w="120" w:type="dxa"/>
              <w:bottom w:w="80" w:type="dxa"/>
              <w:right w:w="120" w:type="dxa"/>
            </w:tcMar>
          </w:tcPr>
          <w:p w14:paraId="1B00000D" w14:textId="77777777" w:rsidR="00E07753" w:rsidRDefault="00E07753" w:rsidP="00FD3896">
            <w:pPr>
              <w:rPr>
                <w:rFonts w:ascii="Times New Roman" w:hAnsi="Times New Roman" w:cs="Times New Roman"/>
                <w:b/>
                <w:bCs/>
                <w:sz w:val="24"/>
                <w:szCs w:val="24"/>
                <w:lang w:val="es-419"/>
              </w:rPr>
            </w:pPr>
            <w:r>
              <w:rPr>
                <w:rFonts w:ascii="Times New Roman" w:hAnsi="Times New Roman" w:cs="Times New Roman"/>
                <w:b/>
                <w:bCs/>
                <w:sz w:val="24"/>
                <w:szCs w:val="24"/>
                <w:lang w:val="es-419"/>
              </w:rPr>
              <w:t>Impacto estimado</w:t>
            </w:r>
          </w:p>
        </w:tc>
        <w:tc>
          <w:tcPr>
            <w:tcW w:w="6824" w:type="dxa"/>
            <w:tcMar>
              <w:top w:w="80" w:type="dxa"/>
              <w:left w:w="120" w:type="dxa"/>
              <w:bottom w:w="80" w:type="dxa"/>
              <w:right w:w="120" w:type="dxa"/>
            </w:tcMar>
          </w:tcPr>
          <w:p w14:paraId="1B00000E" w14:textId="77777777" w:rsidR="00E07753" w:rsidRDefault="00E07753" w:rsidP="00FD3896">
            <w:pPr>
              <w:rPr>
                <w:rFonts w:ascii="Times New Roman" w:hAnsi="Times New Roman" w:cs="Times New Roman"/>
                <w:sz w:val="24"/>
                <w:szCs w:val="24"/>
                <w:lang w:val="es-419"/>
              </w:rPr>
            </w:pPr>
            <w:r>
              <w:rPr>
                <w:rFonts w:ascii="Times New Roman" w:hAnsi="Times New Roman" w:cs="Times New Roman"/>
                <w:sz w:val="24"/>
                <w:szCs w:val="24"/>
                <w:lang w:val="es-419"/>
              </w:rPr>
              <w:t>Elimina un paso de elaboración documental sin valor analítico por trámite, recuperando tiempo del profesional para el análisis sustantivo. Reduce errores de formato y variabilidad entre actos de distintos profesionales. Libera directamente el estado Gestión del Acto Administrativo, cuello identificado en el 12.8% de las Primeras Vez y en proporciones menores de las demás tipologías.</w:t>
            </w:r>
          </w:p>
        </w:tc>
      </w:tr>
    </w:tbl>
    <w:p w14:paraId="192AD77F" w14:textId="77777777" w:rsidR="00DC2C00" w:rsidRDefault="00DC2C00" w:rsidP="002A0910">
      <w:pPr>
        <w:rPr>
          <w:rFonts w:ascii="Times New Roman" w:hAnsi="Times New Roman" w:cs="Times New Roman"/>
          <w:sz w:val="24"/>
          <w:szCs w:val="24"/>
          <w:lang w:val="es-419"/>
        </w:rPr>
      </w:pPr>
    </w:p>
    <w:p w14:paraId="3ABE3B47" w14:textId="3EB3F781" w:rsidR="002A0910" w:rsidRPr="002A0910" w:rsidRDefault="002A0910" w:rsidP="002A0910">
      <w:pPr>
        <w:rPr>
          <w:rFonts w:ascii="Times New Roman" w:hAnsi="Times New Roman" w:cs="Times New Roman"/>
          <w:sz w:val="24"/>
          <w:szCs w:val="24"/>
          <w:lang w:val="es-419"/>
        </w:rPr>
      </w:pPr>
      <w:r w:rsidRPr="002A0910">
        <w:rPr>
          <w:rFonts w:ascii="Times New Roman" w:hAnsi="Times New Roman" w:cs="Times New Roman"/>
          <w:sz w:val="24"/>
          <w:szCs w:val="24"/>
          <w:lang w:val="es-419"/>
        </w:rPr>
        <w:t xml:space="preserve">En reunión de concertación y revisión de la oportunidad de optimización sostenida con la líder del grupo de Cannabis y el subdirector el </w:t>
      </w:r>
      <w:proofErr w:type="gramStart"/>
      <w:r w:rsidRPr="002A0910">
        <w:rPr>
          <w:rFonts w:ascii="Times New Roman" w:hAnsi="Times New Roman" w:cs="Times New Roman"/>
          <w:sz w:val="24"/>
          <w:szCs w:val="24"/>
          <w:lang w:val="es-419"/>
        </w:rPr>
        <w:t>día martes</w:t>
      </w:r>
      <w:proofErr w:type="gramEnd"/>
      <w:r w:rsidRPr="002A0910">
        <w:rPr>
          <w:rFonts w:ascii="Times New Roman" w:hAnsi="Times New Roman" w:cs="Times New Roman"/>
          <w:sz w:val="24"/>
          <w:szCs w:val="24"/>
          <w:lang w:val="es-419"/>
        </w:rPr>
        <w:t xml:space="preserve"> 19 de mayo se definió la aceptación de esta propuesta como oportunidad de mejora de los procesos asociados a la subdirección. Tras reunión sostenida el día 22 de mayo con el líder del equipo de Sistemas, se confirmó que en el marco del programa </w:t>
      </w:r>
      <w:proofErr w:type="spellStart"/>
      <w:r w:rsidRPr="002A0910">
        <w:rPr>
          <w:rFonts w:ascii="Times New Roman" w:hAnsi="Times New Roman" w:cs="Times New Roman"/>
          <w:sz w:val="24"/>
          <w:szCs w:val="24"/>
          <w:lang w:val="es-419"/>
        </w:rPr>
        <w:t>iNNpulsa</w:t>
      </w:r>
      <w:proofErr w:type="spellEnd"/>
      <w:r w:rsidRPr="002A0910">
        <w:rPr>
          <w:rFonts w:ascii="Times New Roman" w:hAnsi="Times New Roman" w:cs="Times New Roman"/>
          <w:sz w:val="24"/>
          <w:szCs w:val="24"/>
          <w:lang w:val="es-419"/>
        </w:rPr>
        <w:t xml:space="preserve"> se desarrolló para MICC un módulo de generación automática de actos administrativos: las plantillas previamente construidas por los trabajadores se almacenan en un servidor, y un sistema de inteligencia artificial las utiliza reemplazando los campos del trámite —empresa, representante legal, radicado, sustancia, cupos autorizados, entre otros— mediante etiquetas predefinidas, generando un primer borrador del acto administrativo con los datos del sistema que el profesional revisa y, de ser necesario, ajusta antes de firmar. Este desarrollo quedó instalado para MICC el 21 de mayo de 2026, en simultáneo con el lanzamiento del módulo de </w:t>
      </w:r>
      <w:proofErr w:type="spellStart"/>
      <w:r w:rsidRPr="002A0910">
        <w:rPr>
          <w:rFonts w:ascii="Times New Roman" w:hAnsi="Times New Roman" w:cs="Times New Roman"/>
          <w:sz w:val="24"/>
          <w:szCs w:val="24"/>
          <w:lang w:val="es-419"/>
        </w:rPr>
        <w:t>pre-validación</w:t>
      </w:r>
      <w:proofErr w:type="spellEnd"/>
      <w:r w:rsidRPr="002A0910">
        <w:rPr>
          <w:rFonts w:ascii="Times New Roman" w:hAnsi="Times New Roman" w:cs="Times New Roman"/>
          <w:sz w:val="24"/>
          <w:szCs w:val="24"/>
          <w:lang w:val="es-419"/>
        </w:rPr>
        <w:t xml:space="preserve"> documental. Para SICOQ, el equipo de Sistemas tiene proyectado explorar la extensión de esta funcionalidad una vez se evalúen los resultados de su operación en MICC.</w:t>
      </w:r>
    </w:p>
    <w:p w14:paraId="2EF4F613" w14:textId="74EF6CDA" w:rsidR="002A0910" w:rsidRPr="002A0910" w:rsidRDefault="002A0910" w:rsidP="002A0910">
      <w:pPr>
        <w:rPr>
          <w:rFonts w:ascii="Times New Roman" w:hAnsi="Times New Roman" w:cs="Times New Roman"/>
          <w:sz w:val="24"/>
          <w:szCs w:val="24"/>
          <w:lang w:val="es-419"/>
        </w:rPr>
      </w:pPr>
      <w:r w:rsidRPr="002A0910">
        <w:rPr>
          <w:rFonts w:ascii="Times New Roman" w:hAnsi="Times New Roman" w:cs="Times New Roman"/>
          <w:sz w:val="24"/>
          <w:szCs w:val="24"/>
          <w:lang w:val="es-419"/>
        </w:rPr>
        <w:t>De cara a ello, la oportunidad se incorpora en la versión I de los flujogramas de los procesos de Cannabis gestionados en MICC, reconociendo el desarrollo ya instalado como funcionalidad en operación. Para los procesos de Sustancias Químicas en SICOQ, se incorpora en la versión II como recomendación</w:t>
      </w:r>
      <w:r w:rsidRPr="002A0910">
        <w:rPr>
          <w:rFonts w:ascii="Times New Roman" w:hAnsi="Times New Roman" w:cs="Times New Roman"/>
          <w:sz w:val="24"/>
          <w:szCs w:val="24"/>
          <w:lang w:val="es-419"/>
        </w:rPr>
        <w:t>.</w:t>
      </w:r>
    </w:p>
    <w:p w14:paraId="1277C438" w14:textId="77777777" w:rsidR="002A0910" w:rsidRDefault="002A0910" w:rsidP="00E07753">
      <w:pPr>
        <w:rPr>
          <w:rFonts w:ascii="Times New Roman" w:hAnsi="Times New Roman" w:cs="Times New Roman"/>
          <w:b/>
          <w:bCs/>
          <w:sz w:val="24"/>
          <w:szCs w:val="24"/>
          <w:lang w:val="es-419"/>
        </w:rPr>
      </w:pPr>
    </w:p>
    <w:p w14:paraId="439BFE59" w14:textId="77777777" w:rsidR="00234AC9" w:rsidRPr="00DC0666" w:rsidRDefault="00234AC9">
      <w:pPr>
        <w:rPr>
          <w:sz w:val="24"/>
          <w:szCs w:val="24"/>
        </w:rPr>
      </w:pPr>
    </w:p>
    <w:sectPr w:rsidR="00234AC9" w:rsidRPr="00DC066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M Mono">
    <w:charset w:val="00"/>
    <w:family w:val="modern"/>
    <w:pitch w:val="fixed"/>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495BE7"/>
    <w:multiLevelType w:val="hybridMultilevel"/>
    <w:tmpl w:val="3320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D841CC"/>
    <w:multiLevelType w:val="hybridMultilevel"/>
    <w:tmpl w:val="CBF2C0EE"/>
    <w:lvl w:ilvl="0" w:tplc="DDA00158">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BA7F62"/>
    <w:multiLevelType w:val="hybridMultilevel"/>
    <w:tmpl w:val="65F84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7356E6C"/>
    <w:multiLevelType w:val="hybridMultilevel"/>
    <w:tmpl w:val="C43E08F0"/>
    <w:lvl w:ilvl="0" w:tplc="206AFF44">
      <w:start w:val="1"/>
      <w:numFmt w:val="bullet"/>
      <w:lvlText w:val="•"/>
      <w:lvlJc w:val="left"/>
      <w:pPr>
        <w:ind w:left="720" w:hanging="360"/>
      </w:pPr>
    </w:lvl>
    <w:lvl w:ilvl="1" w:tplc="6FEACD0E">
      <w:numFmt w:val="decimal"/>
      <w:lvlText w:val=""/>
      <w:lvlJc w:val="left"/>
    </w:lvl>
    <w:lvl w:ilvl="2" w:tplc="41A0004A">
      <w:numFmt w:val="decimal"/>
      <w:lvlText w:val=""/>
      <w:lvlJc w:val="left"/>
    </w:lvl>
    <w:lvl w:ilvl="3" w:tplc="5DB43C1A">
      <w:numFmt w:val="decimal"/>
      <w:lvlText w:val=""/>
      <w:lvlJc w:val="left"/>
    </w:lvl>
    <w:lvl w:ilvl="4" w:tplc="27C07098">
      <w:numFmt w:val="decimal"/>
      <w:lvlText w:val=""/>
      <w:lvlJc w:val="left"/>
    </w:lvl>
    <w:lvl w:ilvl="5" w:tplc="EE7A78EE">
      <w:numFmt w:val="decimal"/>
      <w:lvlText w:val=""/>
      <w:lvlJc w:val="left"/>
    </w:lvl>
    <w:lvl w:ilvl="6" w:tplc="AEBA8820">
      <w:numFmt w:val="decimal"/>
      <w:lvlText w:val=""/>
      <w:lvlJc w:val="left"/>
    </w:lvl>
    <w:lvl w:ilvl="7" w:tplc="D7382A48">
      <w:numFmt w:val="decimal"/>
      <w:lvlText w:val=""/>
      <w:lvlJc w:val="left"/>
    </w:lvl>
    <w:lvl w:ilvl="8" w:tplc="61BA7A8E">
      <w:numFmt w:val="decimal"/>
      <w:lvlText w:val=""/>
      <w:lvlJc w:val="left"/>
    </w:lvl>
  </w:abstractNum>
  <w:num w:numId="1" w16cid:durableId="1276519856">
    <w:abstractNumId w:val="3"/>
    <w:lvlOverride w:ilvl="0">
      <w:startOverride w:val="1"/>
    </w:lvlOverride>
  </w:num>
  <w:num w:numId="2" w16cid:durableId="1905294214">
    <w:abstractNumId w:val="0"/>
  </w:num>
  <w:num w:numId="3" w16cid:durableId="1191190584">
    <w:abstractNumId w:val="2"/>
  </w:num>
  <w:num w:numId="4" w16cid:durableId="12603311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753"/>
    <w:rsid w:val="000654E5"/>
    <w:rsid w:val="00070616"/>
    <w:rsid w:val="000E70F8"/>
    <w:rsid w:val="001956F7"/>
    <w:rsid w:val="001A2185"/>
    <w:rsid w:val="001D7AB4"/>
    <w:rsid w:val="00234AC9"/>
    <w:rsid w:val="00297CDB"/>
    <w:rsid w:val="002A0910"/>
    <w:rsid w:val="002B2922"/>
    <w:rsid w:val="002B39AF"/>
    <w:rsid w:val="003208DE"/>
    <w:rsid w:val="0040423A"/>
    <w:rsid w:val="00482FE3"/>
    <w:rsid w:val="004F19F5"/>
    <w:rsid w:val="0058461C"/>
    <w:rsid w:val="005C23BB"/>
    <w:rsid w:val="00631CC7"/>
    <w:rsid w:val="006B5B5D"/>
    <w:rsid w:val="006D25D6"/>
    <w:rsid w:val="00705B25"/>
    <w:rsid w:val="007E6715"/>
    <w:rsid w:val="008714BF"/>
    <w:rsid w:val="00945C2E"/>
    <w:rsid w:val="00995C5D"/>
    <w:rsid w:val="009A741D"/>
    <w:rsid w:val="009A7C07"/>
    <w:rsid w:val="00A519FC"/>
    <w:rsid w:val="00A749A3"/>
    <w:rsid w:val="00B722F7"/>
    <w:rsid w:val="00BD6686"/>
    <w:rsid w:val="00CC775E"/>
    <w:rsid w:val="00DC0666"/>
    <w:rsid w:val="00DC2C00"/>
    <w:rsid w:val="00DF0B3B"/>
    <w:rsid w:val="00E07753"/>
    <w:rsid w:val="00E2136E"/>
    <w:rsid w:val="00EE2585"/>
    <w:rsid w:val="00FB1943"/>
    <w:rsid w:val="00FC693C"/>
    <w:rsid w:val="00FE3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B56F6"/>
  <w15:chartTrackingRefBased/>
  <w15:docId w15:val="{F104F22B-AFD5-42C9-94AF-8012C53D8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4BF"/>
    <w:pPr>
      <w:spacing w:after="0" w:line="240"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58461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077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0775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0775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0775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0775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775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775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775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ulos">
    <w:name w:val="Titulos"/>
    <w:basedOn w:val="Heading1"/>
    <w:link w:val="TitulosChar"/>
    <w:qFormat/>
    <w:rsid w:val="0058461C"/>
    <w:pPr>
      <w:keepNext w:val="0"/>
      <w:keepLines w:val="0"/>
      <w:pBdr>
        <w:bottom w:val="single" w:sz="10" w:space="4" w:color="2E75B6"/>
      </w:pBdr>
      <w:spacing w:before="480" w:after="240"/>
    </w:pPr>
    <w:rPr>
      <w:rFonts w:ascii="Times New Roman" w:eastAsiaTheme="minorHAnsi" w:hAnsi="Times New Roman" w:cs="Times New Roman"/>
      <w:b/>
      <w:bCs/>
      <w:color w:val="1F4E79"/>
      <w:sz w:val="34"/>
      <w:szCs w:val="34"/>
      <w:lang w:val="es-419"/>
    </w:rPr>
  </w:style>
  <w:style w:type="character" w:customStyle="1" w:styleId="TitulosChar">
    <w:name w:val="Titulos Char"/>
    <w:basedOn w:val="Heading1Char"/>
    <w:link w:val="Titulos"/>
    <w:rsid w:val="0058461C"/>
    <w:rPr>
      <w:rFonts w:ascii="Times New Roman" w:eastAsiaTheme="majorEastAsia" w:hAnsi="Times New Roman" w:cs="Times New Roman"/>
      <w:b/>
      <w:bCs/>
      <w:color w:val="1F4E79"/>
      <w:sz w:val="34"/>
      <w:szCs w:val="34"/>
      <w:lang w:val="es-419"/>
    </w:rPr>
  </w:style>
  <w:style w:type="character" w:customStyle="1" w:styleId="Heading1Char">
    <w:name w:val="Heading 1 Char"/>
    <w:basedOn w:val="DefaultParagraphFont"/>
    <w:link w:val="Heading1"/>
    <w:uiPriority w:val="9"/>
    <w:rsid w:val="005846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775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775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775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0775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077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77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77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7753"/>
    <w:rPr>
      <w:rFonts w:eastAsiaTheme="majorEastAsia" w:cstheme="majorBidi"/>
      <w:color w:val="272727" w:themeColor="text1" w:themeTint="D8"/>
    </w:rPr>
  </w:style>
  <w:style w:type="paragraph" w:styleId="Title">
    <w:name w:val="Title"/>
    <w:basedOn w:val="Normal"/>
    <w:next w:val="Normal"/>
    <w:link w:val="TitleChar"/>
    <w:uiPriority w:val="10"/>
    <w:qFormat/>
    <w:rsid w:val="00E0775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7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77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77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7753"/>
    <w:pPr>
      <w:spacing w:before="160"/>
      <w:jc w:val="center"/>
    </w:pPr>
    <w:rPr>
      <w:i/>
      <w:iCs/>
      <w:color w:val="404040" w:themeColor="text1" w:themeTint="BF"/>
    </w:rPr>
  </w:style>
  <w:style w:type="character" w:customStyle="1" w:styleId="QuoteChar">
    <w:name w:val="Quote Char"/>
    <w:basedOn w:val="DefaultParagraphFont"/>
    <w:link w:val="Quote"/>
    <w:uiPriority w:val="29"/>
    <w:rsid w:val="00E07753"/>
    <w:rPr>
      <w:i/>
      <w:iCs/>
      <w:color w:val="404040" w:themeColor="text1" w:themeTint="BF"/>
    </w:rPr>
  </w:style>
  <w:style w:type="paragraph" w:styleId="ListParagraph">
    <w:name w:val="List Paragraph"/>
    <w:basedOn w:val="Normal"/>
    <w:qFormat/>
    <w:rsid w:val="00E07753"/>
    <w:pPr>
      <w:ind w:left="720"/>
      <w:contextualSpacing/>
    </w:pPr>
  </w:style>
  <w:style w:type="character" w:styleId="IntenseEmphasis">
    <w:name w:val="Intense Emphasis"/>
    <w:basedOn w:val="DefaultParagraphFont"/>
    <w:uiPriority w:val="21"/>
    <w:qFormat/>
    <w:rsid w:val="00E07753"/>
    <w:rPr>
      <w:i/>
      <w:iCs/>
      <w:color w:val="2F5496" w:themeColor="accent1" w:themeShade="BF"/>
    </w:rPr>
  </w:style>
  <w:style w:type="paragraph" w:styleId="IntenseQuote">
    <w:name w:val="Intense Quote"/>
    <w:basedOn w:val="Normal"/>
    <w:next w:val="Normal"/>
    <w:link w:val="IntenseQuoteChar"/>
    <w:uiPriority w:val="30"/>
    <w:qFormat/>
    <w:rsid w:val="00E077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07753"/>
    <w:rPr>
      <w:i/>
      <w:iCs/>
      <w:color w:val="2F5496" w:themeColor="accent1" w:themeShade="BF"/>
    </w:rPr>
  </w:style>
  <w:style w:type="character" w:styleId="IntenseReference">
    <w:name w:val="Intense Reference"/>
    <w:basedOn w:val="DefaultParagraphFont"/>
    <w:uiPriority w:val="32"/>
    <w:qFormat/>
    <w:rsid w:val="00E0775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B7C13-D43E-45E6-A2BB-36AB3FD5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4171</TotalTime>
  <Pages>18</Pages>
  <Words>7242</Words>
  <Characters>41284</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RUBIANO OSORIO</dc:creator>
  <cp:keywords/>
  <dc:description/>
  <cp:lastModifiedBy>VALENTINA RUBIANO OSORIO</cp:lastModifiedBy>
  <cp:revision>11</cp:revision>
  <dcterms:created xsi:type="dcterms:W3CDTF">2026-05-12T12:56:00Z</dcterms:created>
  <dcterms:modified xsi:type="dcterms:W3CDTF">2026-05-25T16:43:00Z</dcterms:modified>
</cp:coreProperties>
</file>